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666B" w14:textId="77777777" w:rsidR="00990531" w:rsidRPr="008277C6" w:rsidRDefault="00990531" w:rsidP="008E7546">
      <w:pPr>
        <w:pStyle w:val="ListParagraph"/>
        <w:ind w:left="540"/>
        <w:jc w:val="center"/>
        <w:rPr>
          <w:sz w:val="28"/>
          <w:szCs w:val="28"/>
        </w:rPr>
      </w:pPr>
      <w:r w:rsidRPr="008277C6">
        <w:rPr>
          <w:b/>
          <w:bCs/>
          <w:sz w:val="28"/>
          <w:szCs w:val="28"/>
        </w:rPr>
        <w:t>Curricular Planning and Implementation</w:t>
      </w:r>
    </w:p>
    <w:p w14:paraId="7CE5FC65" w14:textId="77777777" w:rsidR="00990531" w:rsidRPr="00EB7689" w:rsidRDefault="00990531" w:rsidP="00990531">
      <w:pPr>
        <w:pStyle w:val="Heading4"/>
        <w:spacing w:before="0" w:line="240" w:lineRule="auto"/>
        <w:ind w:left="-450"/>
        <w:rPr>
          <w:rFonts w:ascii="Times New Roman" w:hAnsi="Times New Roman"/>
          <w:bCs w:val="0"/>
          <w:i w:val="0"/>
          <w:iCs w:val="0"/>
          <w:color w:val="000000" w:themeColor="text1"/>
          <w:sz w:val="8"/>
          <w:szCs w:val="8"/>
        </w:rPr>
      </w:pPr>
    </w:p>
    <w:p w14:paraId="1E10B3B1" w14:textId="77777777" w:rsidR="00990531" w:rsidRPr="008E7546" w:rsidRDefault="00990531" w:rsidP="008E7546">
      <w:pPr>
        <w:jc w:val="center"/>
        <w:rPr>
          <w:b/>
          <w:bCs/>
          <w:sz w:val="24"/>
          <w:szCs w:val="24"/>
        </w:rPr>
      </w:pPr>
      <w:r w:rsidRPr="008E7546">
        <w:rPr>
          <w:b/>
          <w:bCs/>
          <w:sz w:val="24"/>
          <w:szCs w:val="24"/>
        </w:rPr>
        <w:t>The Institution ensures effective curriculum delivery through a well-planned and documented process</w:t>
      </w:r>
    </w:p>
    <w:p w14:paraId="01CA50AA" w14:textId="77777777" w:rsidR="00990531" w:rsidRPr="00623CD5" w:rsidRDefault="00990531" w:rsidP="008E7546">
      <w:pPr>
        <w:pStyle w:val="ListParagraph"/>
        <w:ind w:left="720"/>
        <w:jc w:val="center"/>
        <w:rPr>
          <w:b/>
          <w:bCs/>
          <w:sz w:val="24"/>
          <w:szCs w:val="24"/>
        </w:rPr>
      </w:pPr>
    </w:p>
    <w:p w14:paraId="4985488C" w14:textId="77777777" w:rsidR="00990531" w:rsidRDefault="00990531" w:rsidP="00990531">
      <w:pPr>
        <w:spacing w:line="360" w:lineRule="auto"/>
        <w:jc w:val="both"/>
      </w:pPr>
      <w:r>
        <w:t>Tirumala Engineering college is affiliated to Jawaharlal Nehru Technological University [JNTU], Kakinada and the curriculum is strictly adhered to the curriculum prescribed by the affiliating university JNTU Kakinada.</w:t>
      </w:r>
    </w:p>
    <w:p w14:paraId="193D04F2" w14:textId="77777777" w:rsidR="00990531" w:rsidRDefault="00990531" w:rsidP="00990531">
      <w:pPr>
        <w:spacing w:line="360" w:lineRule="auto"/>
        <w:jc w:val="both"/>
      </w:pPr>
      <w:r w:rsidRPr="008E7546">
        <w:rPr>
          <w:b/>
          <w:color w:val="00B050"/>
        </w:rPr>
        <w:t>Preparation of Academic Calendar</w:t>
      </w:r>
      <w:r>
        <w:t xml:space="preserve">: Academic calendar has been prepared after the academic schedule was released by the affiliating University JNTU, Kakinada by the heads of the department in alignment with the University academic calendar. This calendar includes the academic details such as schedule for the number of working days, internal assessment test and association actives such as guest lecture, value added courses, industrial visits, etc., </w:t>
      </w:r>
    </w:p>
    <w:p w14:paraId="54F3797A" w14:textId="77777777" w:rsidR="00990531" w:rsidRDefault="00990531" w:rsidP="00990531">
      <w:pPr>
        <w:spacing w:line="360" w:lineRule="auto"/>
        <w:jc w:val="both"/>
      </w:pPr>
      <w:r w:rsidRPr="008E7546">
        <w:rPr>
          <w:b/>
          <w:color w:val="00B050"/>
        </w:rPr>
        <w:t>Course Allocation /Subject allocation</w:t>
      </w:r>
      <w:r>
        <w:rPr>
          <w:b/>
        </w:rPr>
        <w:t xml:space="preserve">: </w:t>
      </w:r>
      <w:r>
        <w:t xml:space="preserve">Courses are allocated to the faculty members based on their expertise &amp; subject preferences by the Head of the department (HOD) and approved by the Principal. </w:t>
      </w:r>
    </w:p>
    <w:p w14:paraId="1B8814B0" w14:textId="77777777" w:rsidR="00990531" w:rsidRDefault="00990531" w:rsidP="00990531">
      <w:pPr>
        <w:spacing w:line="360" w:lineRule="auto"/>
        <w:jc w:val="both"/>
      </w:pPr>
      <w:r w:rsidRPr="00B06394">
        <w:rPr>
          <w:b/>
          <w:bCs/>
        </w:rPr>
        <w:t>Timetable Preparation</w:t>
      </w:r>
      <w:r>
        <w:t>: Timetables are prepared by the Time-Table committee in the department and approved by the head of the department and principal,</w:t>
      </w:r>
      <w:r w:rsidRPr="00FB0508">
        <w:t xml:space="preserve"> </w:t>
      </w:r>
      <w:r>
        <w:t xml:space="preserve">Class-wise timetables also include time slots for, Seminars, counseling sessions &amp; library etc. Individual faculty timetables are prepared reflecting his/her complete workload. </w:t>
      </w:r>
    </w:p>
    <w:p w14:paraId="4E8E75D5" w14:textId="77777777" w:rsidR="00990531" w:rsidRDefault="00990531" w:rsidP="00990531">
      <w:pPr>
        <w:spacing w:line="360" w:lineRule="auto"/>
        <w:jc w:val="both"/>
      </w:pPr>
      <w:r w:rsidRPr="008E7546">
        <w:rPr>
          <w:b/>
          <w:bCs/>
          <w:color w:val="00B050"/>
        </w:rPr>
        <w:t>Design and Dissemination of Course Plan</w:t>
      </w:r>
      <w:r w:rsidRPr="008E7546">
        <w:rPr>
          <w:color w:val="00B050"/>
        </w:rPr>
        <w:t>:</w:t>
      </w:r>
      <w:r>
        <w:t xml:space="preserve"> Each faculty member prepares a detailed course plan including the textbook(s), reference book(s), web resource(s) and ICT tool(s) to be used for each topic. It also includes the topics to be covered </w:t>
      </w:r>
      <w:r w:rsidRPr="00C508EC">
        <w:rPr>
          <w:b/>
          <w:bCs/>
        </w:rPr>
        <w:t>beyond the curriculum</w:t>
      </w:r>
      <w:r>
        <w:t xml:space="preserve"> which is then disseminated to the concerned students after approval of the Head of the Department. Comprehensive lesson plan has been prepared for all subjects including the course outcome by the subject allotted faculty. </w:t>
      </w:r>
    </w:p>
    <w:p w14:paraId="4A4B5AAC" w14:textId="77777777" w:rsidR="00990531" w:rsidRDefault="00990531" w:rsidP="00990531">
      <w:pPr>
        <w:spacing w:line="360" w:lineRule="auto"/>
        <w:jc w:val="both"/>
      </w:pPr>
      <w:r w:rsidRPr="008E7546">
        <w:rPr>
          <w:b/>
          <w:bCs/>
          <w:color w:val="00B050"/>
        </w:rPr>
        <w:t>Preparation of Course file</w:t>
      </w:r>
      <w:r>
        <w:t xml:space="preserve">: Each faculty member prepares the course file which includes the timetable, lecture plan, course outcomes, mapping of course outcomes with program outcomes &amp; program specific outcomes, attainment levels and targets, identified curriculum gaps, corrective actions, unit wise notes, previous question papers and previous performances and laboratory manual for practical courses. After the completion of the semester, it is updated with analysis of students’ feedback, attainment of COs, POs &amp; PSOs and justifications for non-attainment of COs, POs and PSOs (if any). These study materials are uploaded in the college website and student’s portal for their references. </w:t>
      </w:r>
    </w:p>
    <w:p w14:paraId="47E260B6" w14:textId="77777777" w:rsidR="00990531" w:rsidRDefault="00990531" w:rsidP="00990531">
      <w:pPr>
        <w:spacing w:line="360" w:lineRule="auto"/>
        <w:jc w:val="both"/>
      </w:pPr>
      <w:r w:rsidRPr="00941E76">
        <w:rPr>
          <w:b/>
          <w:bCs/>
          <w:color w:val="00B050"/>
        </w:rPr>
        <w:t>Monitoring classes</w:t>
      </w:r>
      <w:r>
        <w:t xml:space="preserve">: Regular conduct of classes is closely monitored by HODs and Principal. The quality of course delivery by the faculty members is periodically monitored by getting feedback from the students through class committee meeting and one to one meeting by Head of the Department with the students. Unit wise syllabus coverage and deviations from the lesson plan will be periodically reviewed by the Head </w:t>
      </w:r>
      <w:r>
        <w:lastRenderedPageBreak/>
        <w:t xml:space="preserve">of the Department and are addressed suitably. A similar procedure is followed for practical classes also. </w:t>
      </w:r>
    </w:p>
    <w:p w14:paraId="52A4F2FE" w14:textId="77777777" w:rsidR="00990531" w:rsidRDefault="00990531" w:rsidP="00990531">
      <w:pPr>
        <w:spacing w:line="360" w:lineRule="auto"/>
        <w:jc w:val="both"/>
      </w:pPr>
      <w:r w:rsidRPr="002538B8">
        <w:rPr>
          <w:b/>
          <w:bCs/>
        </w:rPr>
        <w:t>Assessments</w:t>
      </w:r>
      <w:r w:rsidRPr="002538B8">
        <w:t>:</w:t>
      </w:r>
      <w:r>
        <w:t xml:space="preserve"> As per the regulations of the affiliated university, the assessment is in two ways:  </w:t>
      </w:r>
    </w:p>
    <w:p w14:paraId="1D0AE20D" w14:textId="77777777" w:rsidR="00990531" w:rsidRDefault="00990531" w:rsidP="00990531">
      <w:pPr>
        <w:spacing w:line="360" w:lineRule="auto"/>
        <w:jc w:val="both"/>
      </w:pPr>
      <w:r w:rsidRPr="002538B8">
        <w:t>Internal Assessment (</w:t>
      </w:r>
      <w:r>
        <w:t>30</w:t>
      </w:r>
      <w:r w:rsidRPr="002538B8">
        <w:t xml:space="preserve"> Marks):</w:t>
      </w:r>
      <w:r>
        <w:t xml:space="preserve"> faculty will conduct unit test after completion of every unit in every course and there are two internal assessment tests (Mid1 and Mid2), Internal Assessment will be conducted as per the schedule given in the academic calendar.</w:t>
      </w:r>
    </w:p>
    <w:p w14:paraId="458ED627" w14:textId="77777777" w:rsidR="00990531" w:rsidRDefault="00990531" w:rsidP="00990531">
      <w:pPr>
        <w:spacing w:line="360" w:lineRule="auto"/>
        <w:jc w:val="both"/>
      </w:pPr>
      <w:r w:rsidRPr="002538B8">
        <w:t>External Assessment (</w:t>
      </w:r>
      <w:r>
        <w:t>70</w:t>
      </w:r>
      <w:r w:rsidRPr="002538B8">
        <w:t xml:space="preserve"> Marks):</w:t>
      </w:r>
      <w:r>
        <w:t xml:space="preserve"> The external assessment is based on the semester end examinations conducted by the university. </w:t>
      </w:r>
    </w:p>
    <w:p w14:paraId="13BA704F" w14:textId="77777777" w:rsidR="00990531" w:rsidRDefault="00990531" w:rsidP="00990531">
      <w:pPr>
        <w:spacing w:line="360" w:lineRule="auto"/>
        <w:jc w:val="both"/>
      </w:pPr>
      <w:r>
        <w:rPr>
          <w:rFonts w:ascii="Calibri" w:eastAsia="Calibri" w:hAnsi="Calibri" w:cs="Calibri"/>
          <w:b/>
          <w:sz w:val="28"/>
        </w:rPr>
        <w:t xml:space="preserve"> </w:t>
      </w:r>
      <w:r w:rsidRPr="008E7546">
        <w:rPr>
          <w:b/>
          <w:bCs/>
          <w:color w:val="00B050"/>
        </w:rPr>
        <w:t>Based on the Unit test and internal Assessment [MID1]</w:t>
      </w:r>
      <w:r w:rsidRPr="008E7546">
        <w:rPr>
          <w:color w:val="00B050"/>
        </w:rPr>
        <w:t xml:space="preserve"> </w:t>
      </w:r>
      <w:r>
        <w:t>Slow learners and advanced learners are separated in every department. Special coaching classes are conducted after the regular class hours for slow learners. Placement training classes, which includes soft skill and aptitude training, are conducted after the regular class work</w:t>
      </w:r>
    </w:p>
    <w:p w14:paraId="72734DE1" w14:textId="77777777" w:rsidR="00990531" w:rsidRPr="0037117D" w:rsidRDefault="00990531" w:rsidP="00990531">
      <w:pPr>
        <w:spacing w:line="360" w:lineRule="auto"/>
        <w:jc w:val="both"/>
      </w:pPr>
      <w:r>
        <w:t>To bridge the gap between academic and industry, institution will organize guest lectures by resource personnel / industry personnel, industrial visits, workshops and add on / certificate program as pe the schedule in every academic year.</w:t>
      </w:r>
      <w:r w:rsidRPr="002F1F9C">
        <w:t xml:space="preserve"> </w:t>
      </w:r>
      <w:r>
        <w:t xml:space="preserve">These procedures are followed periodically during every semester to ensure </w:t>
      </w:r>
      <w:r w:rsidRPr="0037117D">
        <w:t>curriculum delivery through a well-planned and documented process</w:t>
      </w:r>
    </w:p>
    <w:p w14:paraId="4C7FA002" w14:textId="77777777" w:rsidR="00990531" w:rsidRPr="007A3575" w:rsidRDefault="00990531" w:rsidP="00990531">
      <w:pPr>
        <w:spacing w:line="360" w:lineRule="auto"/>
        <w:jc w:val="both"/>
        <w:rPr>
          <w:b/>
          <w:bCs/>
          <w:sz w:val="24"/>
          <w:szCs w:val="24"/>
        </w:rPr>
      </w:pPr>
      <w:r w:rsidRPr="007A3575">
        <w:rPr>
          <w:b/>
          <w:bCs/>
          <w:sz w:val="24"/>
          <w:szCs w:val="24"/>
        </w:rPr>
        <w:t>List of enclosures</w:t>
      </w:r>
    </w:p>
    <w:tbl>
      <w:tblPr>
        <w:tblStyle w:val="TableGrid"/>
        <w:tblW w:w="10456" w:type="dxa"/>
        <w:tblLayout w:type="fixed"/>
        <w:tblLook w:val="04A0" w:firstRow="1" w:lastRow="0" w:firstColumn="1" w:lastColumn="0" w:noHBand="0" w:noVBand="1"/>
      </w:tblPr>
      <w:tblGrid>
        <w:gridCol w:w="648"/>
        <w:gridCol w:w="2862"/>
        <w:gridCol w:w="1474"/>
        <w:gridCol w:w="1095"/>
        <w:gridCol w:w="1095"/>
        <w:gridCol w:w="1095"/>
        <w:gridCol w:w="1095"/>
        <w:gridCol w:w="1092"/>
      </w:tblGrid>
      <w:tr w:rsidR="00990531" w14:paraId="4CB2E943" w14:textId="77777777" w:rsidTr="00E15133">
        <w:trPr>
          <w:trHeight w:val="413"/>
        </w:trPr>
        <w:tc>
          <w:tcPr>
            <w:tcW w:w="648" w:type="dxa"/>
            <w:vAlign w:val="center"/>
          </w:tcPr>
          <w:p w14:paraId="572A3C86" w14:textId="77777777" w:rsidR="00990531" w:rsidRPr="007A3575" w:rsidRDefault="00990531" w:rsidP="00E15133">
            <w:pPr>
              <w:jc w:val="center"/>
              <w:rPr>
                <w:b/>
              </w:rPr>
            </w:pPr>
            <w:r w:rsidRPr="007A3575">
              <w:rPr>
                <w:b/>
              </w:rPr>
              <w:t>Sl. No</w:t>
            </w:r>
          </w:p>
        </w:tc>
        <w:tc>
          <w:tcPr>
            <w:tcW w:w="2862" w:type="dxa"/>
            <w:vAlign w:val="center"/>
          </w:tcPr>
          <w:p w14:paraId="0A60CBAE" w14:textId="77777777" w:rsidR="00990531" w:rsidRPr="007A3575" w:rsidRDefault="00990531" w:rsidP="00E15133">
            <w:pPr>
              <w:jc w:val="center"/>
              <w:rPr>
                <w:b/>
              </w:rPr>
            </w:pPr>
            <w:r w:rsidRPr="007A3575">
              <w:rPr>
                <w:b/>
              </w:rPr>
              <w:t>Content</w:t>
            </w:r>
          </w:p>
        </w:tc>
        <w:tc>
          <w:tcPr>
            <w:tcW w:w="6946" w:type="dxa"/>
            <w:gridSpan w:val="6"/>
            <w:vAlign w:val="center"/>
          </w:tcPr>
          <w:p w14:paraId="3E72945F" w14:textId="77777777" w:rsidR="00990531" w:rsidRPr="007A3575" w:rsidRDefault="00990531" w:rsidP="00E15133">
            <w:pPr>
              <w:jc w:val="center"/>
              <w:rPr>
                <w:b/>
              </w:rPr>
            </w:pPr>
            <w:r w:rsidRPr="007A3575">
              <w:rPr>
                <w:b/>
              </w:rPr>
              <w:t>Link to the relevant document</w:t>
            </w:r>
          </w:p>
        </w:tc>
      </w:tr>
      <w:tr w:rsidR="00990531" w14:paraId="57C3136B" w14:textId="77777777" w:rsidTr="00E15133">
        <w:trPr>
          <w:trHeight w:val="371"/>
        </w:trPr>
        <w:tc>
          <w:tcPr>
            <w:tcW w:w="648" w:type="dxa"/>
            <w:vAlign w:val="center"/>
          </w:tcPr>
          <w:p w14:paraId="06AB86A3" w14:textId="77777777" w:rsidR="00990531" w:rsidRDefault="00990531" w:rsidP="00E15133">
            <w:pPr>
              <w:jc w:val="center"/>
              <w:rPr>
                <w:b/>
                <w:sz w:val="24"/>
                <w:szCs w:val="24"/>
              </w:rPr>
            </w:pPr>
          </w:p>
        </w:tc>
        <w:tc>
          <w:tcPr>
            <w:tcW w:w="2862" w:type="dxa"/>
            <w:vAlign w:val="center"/>
          </w:tcPr>
          <w:p w14:paraId="7D58BFC7" w14:textId="77777777" w:rsidR="00990531" w:rsidRDefault="00990531" w:rsidP="00E15133">
            <w:pPr>
              <w:jc w:val="center"/>
              <w:rPr>
                <w:b/>
                <w:sz w:val="24"/>
                <w:szCs w:val="24"/>
              </w:rPr>
            </w:pPr>
          </w:p>
        </w:tc>
        <w:tc>
          <w:tcPr>
            <w:tcW w:w="1474" w:type="dxa"/>
            <w:vAlign w:val="center"/>
          </w:tcPr>
          <w:p w14:paraId="50C227B5" w14:textId="77777777" w:rsidR="00990531" w:rsidRPr="007A3575" w:rsidRDefault="00990531" w:rsidP="00E15133">
            <w:pPr>
              <w:jc w:val="center"/>
              <w:rPr>
                <w:bCs/>
                <w:sz w:val="24"/>
                <w:szCs w:val="24"/>
              </w:rPr>
            </w:pPr>
            <w:r w:rsidRPr="007A3575">
              <w:rPr>
                <w:bCs/>
                <w:sz w:val="24"/>
                <w:szCs w:val="24"/>
              </w:rPr>
              <w:t>21-22</w:t>
            </w:r>
          </w:p>
        </w:tc>
        <w:tc>
          <w:tcPr>
            <w:tcW w:w="1095" w:type="dxa"/>
            <w:tcBorders>
              <w:right w:val="single" w:sz="4" w:space="0" w:color="auto"/>
            </w:tcBorders>
            <w:vAlign w:val="center"/>
          </w:tcPr>
          <w:p w14:paraId="437A32AE" w14:textId="77777777" w:rsidR="00990531" w:rsidRPr="007A3575" w:rsidRDefault="00990531" w:rsidP="00E15133">
            <w:pPr>
              <w:jc w:val="center"/>
              <w:rPr>
                <w:bCs/>
                <w:sz w:val="24"/>
                <w:szCs w:val="24"/>
              </w:rPr>
            </w:pPr>
            <w:r w:rsidRPr="007A3575">
              <w:rPr>
                <w:bCs/>
                <w:sz w:val="24"/>
                <w:szCs w:val="24"/>
              </w:rPr>
              <w:t>20-21</w:t>
            </w:r>
          </w:p>
        </w:tc>
        <w:tc>
          <w:tcPr>
            <w:tcW w:w="1095" w:type="dxa"/>
            <w:tcBorders>
              <w:left w:val="single" w:sz="4" w:space="0" w:color="auto"/>
              <w:right w:val="single" w:sz="4" w:space="0" w:color="auto"/>
            </w:tcBorders>
            <w:vAlign w:val="center"/>
          </w:tcPr>
          <w:p w14:paraId="41F71494" w14:textId="77777777" w:rsidR="00990531" w:rsidRPr="007A3575" w:rsidRDefault="00990531" w:rsidP="00E15133">
            <w:pPr>
              <w:jc w:val="center"/>
              <w:rPr>
                <w:bCs/>
                <w:sz w:val="24"/>
                <w:szCs w:val="24"/>
              </w:rPr>
            </w:pPr>
            <w:r w:rsidRPr="007A3575">
              <w:rPr>
                <w:bCs/>
                <w:sz w:val="24"/>
                <w:szCs w:val="24"/>
              </w:rPr>
              <w:t>19-20</w:t>
            </w:r>
          </w:p>
        </w:tc>
        <w:tc>
          <w:tcPr>
            <w:tcW w:w="1095" w:type="dxa"/>
            <w:tcBorders>
              <w:left w:val="single" w:sz="4" w:space="0" w:color="auto"/>
            </w:tcBorders>
            <w:vAlign w:val="center"/>
          </w:tcPr>
          <w:p w14:paraId="3EDD43AA" w14:textId="77777777" w:rsidR="00990531" w:rsidRPr="007A3575" w:rsidRDefault="00990531" w:rsidP="00E15133">
            <w:pPr>
              <w:jc w:val="center"/>
              <w:rPr>
                <w:bCs/>
                <w:sz w:val="24"/>
                <w:szCs w:val="24"/>
              </w:rPr>
            </w:pPr>
            <w:r w:rsidRPr="007A3575">
              <w:rPr>
                <w:bCs/>
                <w:sz w:val="24"/>
                <w:szCs w:val="24"/>
              </w:rPr>
              <w:t>18-19</w:t>
            </w:r>
          </w:p>
        </w:tc>
        <w:tc>
          <w:tcPr>
            <w:tcW w:w="1095" w:type="dxa"/>
            <w:tcBorders>
              <w:right w:val="single" w:sz="4" w:space="0" w:color="auto"/>
            </w:tcBorders>
            <w:vAlign w:val="center"/>
          </w:tcPr>
          <w:p w14:paraId="497998B0" w14:textId="77777777" w:rsidR="00990531" w:rsidRPr="007A3575" w:rsidRDefault="00990531" w:rsidP="00E15133">
            <w:pPr>
              <w:jc w:val="center"/>
              <w:rPr>
                <w:bCs/>
                <w:sz w:val="24"/>
                <w:szCs w:val="24"/>
              </w:rPr>
            </w:pPr>
            <w:r w:rsidRPr="007A3575">
              <w:rPr>
                <w:bCs/>
                <w:sz w:val="24"/>
                <w:szCs w:val="24"/>
              </w:rPr>
              <w:t>17-18</w:t>
            </w:r>
          </w:p>
        </w:tc>
        <w:tc>
          <w:tcPr>
            <w:tcW w:w="1092" w:type="dxa"/>
            <w:tcBorders>
              <w:left w:val="single" w:sz="4" w:space="0" w:color="auto"/>
            </w:tcBorders>
            <w:vAlign w:val="center"/>
          </w:tcPr>
          <w:p w14:paraId="58E38029" w14:textId="77777777" w:rsidR="00990531" w:rsidRDefault="00990531" w:rsidP="00E15133">
            <w:pPr>
              <w:jc w:val="center"/>
              <w:rPr>
                <w:bCs/>
                <w:sz w:val="24"/>
                <w:szCs w:val="24"/>
              </w:rPr>
            </w:pPr>
          </w:p>
          <w:p w14:paraId="2AB89823" w14:textId="77777777" w:rsidR="00990531" w:rsidRPr="007A3575" w:rsidRDefault="00990531" w:rsidP="00E15133">
            <w:pPr>
              <w:jc w:val="center"/>
              <w:rPr>
                <w:bCs/>
                <w:sz w:val="24"/>
                <w:szCs w:val="24"/>
              </w:rPr>
            </w:pPr>
            <w:r w:rsidRPr="007A3575">
              <w:rPr>
                <w:bCs/>
                <w:sz w:val="24"/>
                <w:szCs w:val="24"/>
              </w:rPr>
              <w:t>16-17</w:t>
            </w:r>
          </w:p>
          <w:p w14:paraId="06B13822" w14:textId="77777777" w:rsidR="00990531" w:rsidRPr="007A3575" w:rsidRDefault="00990531" w:rsidP="00E15133">
            <w:pPr>
              <w:jc w:val="center"/>
              <w:rPr>
                <w:bCs/>
                <w:sz w:val="24"/>
                <w:szCs w:val="24"/>
              </w:rPr>
            </w:pPr>
          </w:p>
        </w:tc>
      </w:tr>
      <w:tr w:rsidR="00990531" w14:paraId="4BEA4789" w14:textId="77777777" w:rsidTr="00E15133">
        <w:tc>
          <w:tcPr>
            <w:tcW w:w="648" w:type="dxa"/>
            <w:vAlign w:val="center"/>
          </w:tcPr>
          <w:p w14:paraId="71CCCA02" w14:textId="77777777" w:rsidR="00990531" w:rsidRPr="00BE25A0" w:rsidRDefault="00990531" w:rsidP="00E15133">
            <w:pPr>
              <w:autoSpaceDE w:val="0"/>
              <w:autoSpaceDN w:val="0"/>
              <w:adjustRightInd w:val="0"/>
              <w:jc w:val="center"/>
              <w:rPr>
                <w:rFonts w:ascii="TimesNewRomanPS-BoldMT" w:hAnsi="TimesNewRomanPS-BoldMT" w:cs="TimesNewRomanPS-BoldMT"/>
                <w:bCs/>
                <w:sz w:val="27"/>
                <w:szCs w:val="27"/>
              </w:rPr>
            </w:pPr>
            <w:r w:rsidRPr="00BE25A0">
              <w:rPr>
                <w:rFonts w:ascii="TimesNewRomanPS-BoldMT" w:hAnsi="TimesNewRomanPS-BoldMT" w:cs="TimesNewRomanPS-BoldMT"/>
                <w:bCs/>
                <w:sz w:val="27"/>
                <w:szCs w:val="27"/>
              </w:rPr>
              <w:t>1</w:t>
            </w:r>
          </w:p>
        </w:tc>
        <w:tc>
          <w:tcPr>
            <w:tcW w:w="2862" w:type="dxa"/>
            <w:vAlign w:val="center"/>
          </w:tcPr>
          <w:p w14:paraId="586E9C45" w14:textId="77777777" w:rsidR="00990531" w:rsidRPr="00025C8C" w:rsidRDefault="00990531" w:rsidP="00E15133">
            <w:pPr>
              <w:autoSpaceDE w:val="0"/>
              <w:autoSpaceDN w:val="0"/>
              <w:adjustRightInd w:val="0"/>
              <w:jc w:val="center"/>
              <w:rPr>
                <w:rFonts w:ascii="TimesNewRomanPS-BoldMT" w:hAnsi="TimesNewRomanPS-BoldMT" w:cs="TimesNewRomanPS-BoldMT"/>
                <w:bCs/>
                <w:sz w:val="24"/>
                <w:szCs w:val="24"/>
              </w:rPr>
            </w:pPr>
            <w:r w:rsidRPr="00025C8C">
              <w:rPr>
                <w:rFonts w:ascii="TimesNewRomanPS-BoldMT" w:hAnsi="TimesNewRomanPS-BoldMT" w:cs="TimesNewRomanPS-BoldMT"/>
                <w:bCs/>
                <w:sz w:val="24"/>
                <w:szCs w:val="24"/>
              </w:rPr>
              <w:t>Academic Calendar</w:t>
            </w:r>
          </w:p>
        </w:tc>
        <w:tc>
          <w:tcPr>
            <w:tcW w:w="1474" w:type="dxa"/>
            <w:tcBorders>
              <w:right w:val="single" w:sz="4" w:space="0" w:color="auto"/>
            </w:tcBorders>
            <w:vAlign w:val="center"/>
          </w:tcPr>
          <w:p w14:paraId="266DF27D" w14:textId="77777777" w:rsidR="00990531" w:rsidRPr="00025C8C" w:rsidRDefault="00990531" w:rsidP="00E15133">
            <w:pPr>
              <w:autoSpaceDE w:val="0"/>
              <w:autoSpaceDN w:val="0"/>
              <w:adjustRightInd w:val="0"/>
              <w:jc w:val="center"/>
              <w:rPr>
                <w:b/>
                <w:bCs/>
                <w:sz w:val="24"/>
                <w:szCs w:val="24"/>
              </w:rPr>
            </w:pPr>
            <w:r>
              <w:rPr>
                <w:b/>
                <w:bCs/>
                <w:sz w:val="24"/>
                <w:szCs w:val="24"/>
              </w:rPr>
              <w:t>View</w:t>
            </w:r>
          </w:p>
        </w:tc>
        <w:tc>
          <w:tcPr>
            <w:tcW w:w="1095" w:type="dxa"/>
            <w:tcBorders>
              <w:left w:val="single" w:sz="4" w:space="0" w:color="auto"/>
              <w:right w:val="single" w:sz="4" w:space="0" w:color="auto"/>
            </w:tcBorders>
            <w:vAlign w:val="center"/>
          </w:tcPr>
          <w:p w14:paraId="62FC5CB5" w14:textId="77777777" w:rsidR="00990531" w:rsidRPr="00025C8C" w:rsidRDefault="00990531" w:rsidP="00E15133">
            <w:pPr>
              <w:autoSpaceDE w:val="0"/>
              <w:autoSpaceDN w:val="0"/>
              <w:adjustRightInd w:val="0"/>
              <w:jc w:val="center"/>
              <w:rPr>
                <w:b/>
                <w:bCs/>
                <w:sz w:val="24"/>
                <w:szCs w:val="24"/>
              </w:rPr>
            </w:pPr>
            <w:r>
              <w:rPr>
                <w:b/>
                <w:bCs/>
                <w:sz w:val="24"/>
                <w:szCs w:val="24"/>
              </w:rPr>
              <w:t>View</w:t>
            </w:r>
          </w:p>
        </w:tc>
        <w:tc>
          <w:tcPr>
            <w:tcW w:w="1095" w:type="dxa"/>
            <w:tcBorders>
              <w:left w:val="single" w:sz="4" w:space="0" w:color="auto"/>
              <w:right w:val="single" w:sz="4" w:space="0" w:color="auto"/>
            </w:tcBorders>
          </w:tcPr>
          <w:p w14:paraId="067D678B"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c>
          <w:tcPr>
            <w:tcW w:w="1095" w:type="dxa"/>
            <w:tcBorders>
              <w:left w:val="single" w:sz="4" w:space="0" w:color="auto"/>
              <w:right w:val="single" w:sz="4" w:space="0" w:color="auto"/>
            </w:tcBorders>
          </w:tcPr>
          <w:p w14:paraId="13FA0688"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c>
          <w:tcPr>
            <w:tcW w:w="1095" w:type="dxa"/>
            <w:tcBorders>
              <w:left w:val="single" w:sz="4" w:space="0" w:color="auto"/>
              <w:right w:val="single" w:sz="4" w:space="0" w:color="auto"/>
            </w:tcBorders>
          </w:tcPr>
          <w:p w14:paraId="79D94A5F"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c>
          <w:tcPr>
            <w:tcW w:w="1092" w:type="dxa"/>
            <w:tcBorders>
              <w:left w:val="single" w:sz="4" w:space="0" w:color="auto"/>
            </w:tcBorders>
          </w:tcPr>
          <w:p w14:paraId="20071CD8"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r>
      <w:tr w:rsidR="00990531" w14:paraId="068D83C2" w14:textId="77777777" w:rsidTr="00E15133">
        <w:tc>
          <w:tcPr>
            <w:tcW w:w="648" w:type="dxa"/>
            <w:vAlign w:val="center"/>
          </w:tcPr>
          <w:p w14:paraId="75C72E07" w14:textId="77777777" w:rsidR="00990531" w:rsidRPr="00BE25A0" w:rsidRDefault="00990531" w:rsidP="00E15133">
            <w:pPr>
              <w:autoSpaceDE w:val="0"/>
              <w:autoSpaceDN w:val="0"/>
              <w:adjustRightInd w:val="0"/>
              <w:jc w:val="center"/>
              <w:rPr>
                <w:rFonts w:ascii="TimesNewRomanPS-BoldMT" w:hAnsi="TimesNewRomanPS-BoldMT" w:cs="TimesNewRomanPS-BoldMT"/>
                <w:bCs/>
                <w:sz w:val="27"/>
                <w:szCs w:val="27"/>
              </w:rPr>
            </w:pPr>
            <w:r w:rsidRPr="00BE25A0">
              <w:rPr>
                <w:rFonts w:ascii="TimesNewRomanPS-BoldMT" w:hAnsi="TimesNewRomanPS-BoldMT" w:cs="TimesNewRomanPS-BoldMT"/>
                <w:bCs/>
                <w:sz w:val="27"/>
                <w:szCs w:val="27"/>
              </w:rPr>
              <w:t>2</w:t>
            </w:r>
          </w:p>
        </w:tc>
        <w:tc>
          <w:tcPr>
            <w:tcW w:w="2862" w:type="dxa"/>
            <w:vAlign w:val="center"/>
          </w:tcPr>
          <w:p w14:paraId="753DCBE2" w14:textId="77777777" w:rsidR="00990531" w:rsidRPr="00025C8C" w:rsidRDefault="00990531" w:rsidP="00E15133">
            <w:pPr>
              <w:autoSpaceDE w:val="0"/>
              <w:autoSpaceDN w:val="0"/>
              <w:adjustRightInd w:val="0"/>
              <w:jc w:val="center"/>
              <w:rPr>
                <w:rFonts w:ascii="TimesNewRomanPS-BoldMT" w:hAnsi="TimesNewRomanPS-BoldMT" w:cs="TimesNewRomanPS-BoldMT"/>
                <w:bCs/>
                <w:sz w:val="24"/>
                <w:szCs w:val="24"/>
              </w:rPr>
            </w:pPr>
            <w:r w:rsidRPr="00025C8C">
              <w:rPr>
                <w:rFonts w:ascii="TimesNewRomanPS-BoldMT" w:hAnsi="TimesNewRomanPS-BoldMT" w:cs="TimesNewRomanPS-BoldMT"/>
                <w:bCs/>
                <w:sz w:val="24"/>
                <w:szCs w:val="24"/>
              </w:rPr>
              <w:t>Department Advisory Committee</w:t>
            </w:r>
            <w:r>
              <w:rPr>
                <w:rFonts w:ascii="TimesNewRomanPS-BoldMT" w:hAnsi="TimesNewRomanPS-BoldMT" w:cs="TimesNewRomanPS-BoldMT"/>
                <w:bCs/>
                <w:sz w:val="24"/>
                <w:szCs w:val="24"/>
              </w:rPr>
              <w:t xml:space="preserve"> &amp; Programme Assessment Committee</w:t>
            </w:r>
          </w:p>
        </w:tc>
        <w:tc>
          <w:tcPr>
            <w:tcW w:w="1474" w:type="dxa"/>
            <w:tcBorders>
              <w:right w:val="single" w:sz="4" w:space="0" w:color="auto"/>
            </w:tcBorders>
          </w:tcPr>
          <w:p w14:paraId="5EC39B5B" w14:textId="77777777" w:rsidR="00990531" w:rsidRPr="00025C8C" w:rsidRDefault="00990531" w:rsidP="00E15133">
            <w:pPr>
              <w:autoSpaceDE w:val="0"/>
              <w:autoSpaceDN w:val="0"/>
              <w:adjustRightInd w:val="0"/>
              <w:jc w:val="center"/>
              <w:rPr>
                <w:b/>
                <w:bCs/>
                <w:sz w:val="24"/>
                <w:szCs w:val="24"/>
              </w:rPr>
            </w:pPr>
            <w:r w:rsidRPr="0023298B">
              <w:rPr>
                <w:b/>
                <w:bCs/>
                <w:sz w:val="24"/>
                <w:szCs w:val="24"/>
              </w:rPr>
              <w:t>View</w:t>
            </w:r>
          </w:p>
        </w:tc>
        <w:tc>
          <w:tcPr>
            <w:tcW w:w="1095" w:type="dxa"/>
            <w:tcBorders>
              <w:left w:val="single" w:sz="4" w:space="0" w:color="auto"/>
              <w:right w:val="single" w:sz="4" w:space="0" w:color="auto"/>
            </w:tcBorders>
          </w:tcPr>
          <w:p w14:paraId="112BCE73" w14:textId="77777777" w:rsidR="00990531" w:rsidRPr="00025C8C" w:rsidRDefault="00990531" w:rsidP="00E15133">
            <w:pPr>
              <w:autoSpaceDE w:val="0"/>
              <w:autoSpaceDN w:val="0"/>
              <w:adjustRightInd w:val="0"/>
              <w:jc w:val="center"/>
              <w:rPr>
                <w:b/>
                <w:bCs/>
                <w:sz w:val="24"/>
                <w:szCs w:val="24"/>
              </w:rPr>
            </w:pPr>
            <w:r w:rsidRPr="0023298B">
              <w:rPr>
                <w:b/>
                <w:bCs/>
                <w:sz w:val="24"/>
                <w:szCs w:val="24"/>
              </w:rPr>
              <w:t>View</w:t>
            </w:r>
          </w:p>
        </w:tc>
        <w:tc>
          <w:tcPr>
            <w:tcW w:w="1095" w:type="dxa"/>
            <w:tcBorders>
              <w:left w:val="single" w:sz="4" w:space="0" w:color="auto"/>
              <w:right w:val="single" w:sz="4" w:space="0" w:color="auto"/>
            </w:tcBorders>
          </w:tcPr>
          <w:p w14:paraId="589BC3D4"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c>
          <w:tcPr>
            <w:tcW w:w="1095" w:type="dxa"/>
            <w:tcBorders>
              <w:left w:val="single" w:sz="4" w:space="0" w:color="auto"/>
              <w:right w:val="single" w:sz="4" w:space="0" w:color="auto"/>
            </w:tcBorders>
          </w:tcPr>
          <w:p w14:paraId="6AB482BD"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c>
          <w:tcPr>
            <w:tcW w:w="1095" w:type="dxa"/>
            <w:tcBorders>
              <w:left w:val="single" w:sz="4" w:space="0" w:color="auto"/>
              <w:right w:val="single" w:sz="4" w:space="0" w:color="auto"/>
            </w:tcBorders>
          </w:tcPr>
          <w:p w14:paraId="2A088DFD"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c>
          <w:tcPr>
            <w:tcW w:w="1092" w:type="dxa"/>
            <w:tcBorders>
              <w:left w:val="single" w:sz="4" w:space="0" w:color="auto"/>
            </w:tcBorders>
          </w:tcPr>
          <w:p w14:paraId="253BEA05"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r>
      <w:tr w:rsidR="00990531" w14:paraId="132CCA5D" w14:textId="77777777" w:rsidTr="00E15133">
        <w:tc>
          <w:tcPr>
            <w:tcW w:w="648" w:type="dxa"/>
            <w:vAlign w:val="center"/>
          </w:tcPr>
          <w:p w14:paraId="7E0456F4" w14:textId="77777777" w:rsidR="00990531" w:rsidRPr="00BE25A0" w:rsidRDefault="00990531" w:rsidP="00E15133">
            <w:pPr>
              <w:autoSpaceDE w:val="0"/>
              <w:autoSpaceDN w:val="0"/>
              <w:adjustRightInd w:val="0"/>
              <w:jc w:val="center"/>
              <w:rPr>
                <w:rFonts w:ascii="TimesNewRomanPS-BoldMT" w:hAnsi="TimesNewRomanPS-BoldMT" w:cs="TimesNewRomanPS-BoldMT"/>
                <w:bCs/>
                <w:sz w:val="27"/>
                <w:szCs w:val="27"/>
              </w:rPr>
            </w:pPr>
            <w:r w:rsidRPr="00BE25A0">
              <w:rPr>
                <w:rFonts w:ascii="TimesNewRomanPS-BoldMT" w:hAnsi="TimesNewRomanPS-BoldMT" w:cs="TimesNewRomanPS-BoldMT"/>
                <w:bCs/>
                <w:sz w:val="27"/>
                <w:szCs w:val="27"/>
              </w:rPr>
              <w:t>3</w:t>
            </w:r>
          </w:p>
        </w:tc>
        <w:tc>
          <w:tcPr>
            <w:tcW w:w="2862" w:type="dxa"/>
            <w:vAlign w:val="center"/>
          </w:tcPr>
          <w:p w14:paraId="0788D8AA" w14:textId="77777777" w:rsidR="00990531" w:rsidRPr="00025C8C" w:rsidRDefault="00990531" w:rsidP="00E15133">
            <w:pPr>
              <w:autoSpaceDE w:val="0"/>
              <w:autoSpaceDN w:val="0"/>
              <w:adjustRightInd w:val="0"/>
              <w:jc w:val="center"/>
              <w:rPr>
                <w:rFonts w:ascii="TimesNewRomanPS-BoldMT" w:hAnsi="TimesNewRomanPS-BoldMT" w:cs="TimesNewRomanPS-BoldMT"/>
                <w:bCs/>
                <w:sz w:val="24"/>
                <w:szCs w:val="24"/>
              </w:rPr>
            </w:pPr>
            <w:r w:rsidRPr="00025C8C">
              <w:rPr>
                <w:rFonts w:ascii="TimesNewRomanPS-BoldMT" w:hAnsi="TimesNewRomanPS-BoldMT" w:cs="TimesNewRomanPS-BoldMT"/>
                <w:bCs/>
                <w:sz w:val="24"/>
                <w:szCs w:val="24"/>
              </w:rPr>
              <w:t>Department Staff meeting</w:t>
            </w:r>
          </w:p>
        </w:tc>
        <w:tc>
          <w:tcPr>
            <w:tcW w:w="1474" w:type="dxa"/>
            <w:tcBorders>
              <w:right w:val="single" w:sz="4" w:space="0" w:color="auto"/>
            </w:tcBorders>
          </w:tcPr>
          <w:p w14:paraId="27EC955A" w14:textId="77777777" w:rsidR="00990531" w:rsidRPr="00025C8C" w:rsidRDefault="00990531" w:rsidP="00E15133">
            <w:pPr>
              <w:autoSpaceDE w:val="0"/>
              <w:autoSpaceDN w:val="0"/>
              <w:adjustRightInd w:val="0"/>
              <w:jc w:val="center"/>
              <w:rPr>
                <w:b/>
                <w:bCs/>
                <w:sz w:val="24"/>
                <w:szCs w:val="24"/>
              </w:rPr>
            </w:pPr>
            <w:r w:rsidRPr="0023298B">
              <w:rPr>
                <w:b/>
                <w:bCs/>
                <w:sz w:val="24"/>
                <w:szCs w:val="24"/>
              </w:rPr>
              <w:t>View</w:t>
            </w:r>
          </w:p>
        </w:tc>
        <w:tc>
          <w:tcPr>
            <w:tcW w:w="1095" w:type="dxa"/>
            <w:tcBorders>
              <w:left w:val="single" w:sz="4" w:space="0" w:color="auto"/>
              <w:right w:val="single" w:sz="4" w:space="0" w:color="auto"/>
            </w:tcBorders>
          </w:tcPr>
          <w:p w14:paraId="3A2A5BE3" w14:textId="77777777" w:rsidR="00990531" w:rsidRPr="00025C8C" w:rsidRDefault="00990531" w:rsidP="00E15133">
            <w:pPr>
              <w:autoSpaceDE w:val="0"/>
              <w:autoSpaceDN w:val="0"/>
              <w:adjustRightInd w:val="0"/>
              <w:jc w:val="center"/>
              <w:rPr>
                <w:b/>
                <w:bCs/>
                <w:sz w:val="24"/>
                <w:szCs w:val="24"/>
              </w:rPr>
            </w:pPr>
            <w:r w:rsidRPr="0023298B">
              <w:rPr>
                <w:b/>
                <w:bCs/>
                <w:sz w:val="24"/>
                <w:szCs w:val="24"/>
              </w:rPr>
              <w:t>View</w:t>
            </w:r>
          </w:p>
        </w:tc>
        <w:tc>
          <w:tcPr>
            <w:tcW w:w="1095" w:type="dxa"/>
            <w:tcBorders>
              <w:left w:val="single" w:sz="4" w:space="0" w:color="auto"/>
              <w:right w:val="single" w:sz="4" w:space="0" w:color="auto"/>
            </w:tcBorders>
          </w:tcPr>
          <w:p w14:paraId="0613E42B"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c>
          <w:tcPr>
            <w:tcW w:w="1095" w:type="dxa"/>
            <w:tcBorders>
              <w:left w:val="single" w:sz="4" w:space="0" w:color="auto"/>
              <w:right w:val="single" w:sz="4" w:space="0" w:color="auto"/>
            </w:tcBorders>
          </w:tcPr>
          <w:p w14:paraId="4424EAC9"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c>
          <w:tcPr>
            <w:tcW w:w="1095" w:type="dxa"/>
            <w:tcBorders>
              <w:left w:val="single" w:sz="4" w:space="0" w:color="auto"/>
              <w:right w:val="single" w:sz="4" w:space="0" w:color="auto"/>
            </w:tcBorders>
          </w:tcPr>
          <w:p w14:paraId="574FFE74"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c>
          <w:tcPr>
            <w:tcW w:w="1092" w:type="dxa"/>
            <w:tcBorders>
              <w:left w:val="single" w:sz="4" w:space="0" w:color="auto"/>
            </w:tcBorders>
          </w:tcPr>
          <w:p w14:paraId="32E19563"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r>
      <w:tr w:rsidR="00990531" w14:paraId="7AC4526A" w14:textId="77777777" w:rsidTr="00E15133">
        <w:tc>
          <w:tcPr>
            <w:tcW w:w="648" w:type="dxa"/>
            <w:vAlign w:val="center"/>
          </w:tcPr>
          <w:p w14:paraId="385C0BA1" w14:textId="77777777" w:rsidR="00990531" w:rsidRPr="00BE25A0" w:rsidRDefault="00990531" w:rsidP="00E15133">
            <w:pPr>
              <w:autoSpaceDE w:val="0"/>
              <w:autoSpaceDN w:val="0"/>
              <w:adjustRightInd w:val="0"/>
              <w:jc w:val="center"/>
              <w:rPr>
                <w:rFonts w:ascii="TimesNewRomanPS-BoldMT" w:hAnsi="TimesNewRomanPS-BoldMT" w:cs="TimesNewRomanPS-BoldMT"/>
                <w:bCs/>
                <w:sz w:val="27"/>
                <w:szCs w:val="27"/>
              </w:rPr>
            </w:pPr>
            <w:r w:rsidRPr="00BE25A0">
              <w:rPr>
                <w:rFonts w:ascii="TimesNewRomanPS-BoldMT" w:hAnsi="TimesNewRomanPS-BoldMT" w:cs="TimesNewRomanPS-BoldMT"/>
                <w:bCs/>
                <w:sz w:val="27"/>
                <w:szCs w:val="27"/>
              </w:rPr>
              <w:t>4</w:t>
            </w:r>
          </w:p>
        </w:tc>
        <w:tc>
          <w:tcPr>
            <w:tcW w:w="2862" w:type="dxa"/>
            <w:vAlign w:val="center"/>
          </w:tcPr>
          <w:p w14:paraId="3E370205" w14:textId="77777777" w:rsidR="00990531" w:rsidRPr="00025C8C" w:rsidRDefault="00990531" w:rsidP="00E15133">
            <w:pPr>
              <w:autoSpaceDE w:val="0"/>
              <w:autoSpaceDN w:val="0"/>
              <w:adjustRightInd w:val="0"/>
              <w:jc w:val="center"/>
              <w:rPr>
                <w:rFonts w:ascii="TimesNewRomanPS-BoldMT" w:hAnsi="TimesNewRomanPS-BoldMT" w:cs="TimesNewRomanPS-BoldMT"/>
                <w:bCs/>
                <w:sz w:val="24"/>
                <w:szCs w:val="24"/>
              </w:rPr>
            </w:pPr>
            <w:r w:rsidRPr="00025C8C">
              <w:rPr>
                <w:rFonts w:ascii="TimesNewRomanPS-BoldMT" w:hAnsi="TimesNewRomanPS-BoldMT" w:cs="TimesNewRomanPS-BoldMT"/>
                <w:bCs/>
                <w:sz w:val="24"/>
                <w:szCs w:val="24"/>
              </w:rPr>
              <w:t xml:space="preserve">Subject </w:t>
            </w:r>
            <w:r>
              <w:rPr>
                <w:rFonts w:ascii="TimesNewRomanPS-BoldMT" w:hAnsi="TimesNewRomanPS-BoldMT" w:cs="TimesNewRomanPS-BoldMT"/>
                <w:bCs/>
                <w:sz w:val="24"/>
                <w:szCs w:val="24"/>
              </w:rPr>
              <w:t>Allocation</w:t>
            </w:r>
          </w:p>
        </w:tc>
        <w:tc>
          <w:tcPr>
            <w:tcW w:w="1474" w:type="dxa"/>
            <w:tcBorders>
              <w:right w:val="single" w:sz="4" w:space="0" w:color="auto"/>
            </w:tcBorders>
          </w:tcPr>
          <w:p w14:paraId="5F554E2F" w14:textId="77777777" w:rsidR="00990531" w:rsidRPr="00025C8C" w:rsidRDefault="00990531" w:rsidP="00E15133">
            <w:pPr>
              <w:autoSpaceDE w:val="0"/>
              <w:autoSpaceDN w:val="0"/>
              <w:adjustRightInd w:val="0"/>
              <w:jc w:val="center"/>
              <w:rPr>
                <w:b/>
                <w:bCs/>
                <w:sz w:val="24"/>
                <w:szCs w:val="24"/>
              </w:rPr>
            </w:pPr>
            <w:r w:rsidRPr="0023298B">
              <w:rPr>
                <w:b/>
                <w:bCs/>
                <w:sz w:val="24"/>
                <w:szCs w:val="24"/>
              </w:rPr>
              <w:t>View</w:t>
            </w:r>
          </w:p>
        </w:tc>
        <w:tc>
          <w:tcPr>
            <w:tcW w:w="1095" w:type="dxa"/>
            <w:tcBorders>
              <w:left w:val="single" w:sz="4" w:space="0" w:color="auto"/>
              <w:right w:val="single" w:sz="4" w:space="0" w:color="auto"/>
            </w:tcBorders>
          </w:tcPr>
          <w:p w14:paraId="66A54F24" w14:textId="77777777" w:rsidR="00990531" w:rsidRPr="00025C8C" w:rsidRDefault="00990531" w:rsidP="00E15133">
            <w:pPr>
              <w:autoSpaceDE w:val="0"/>
              <w:autoSpaceDN w:val="0"/>
              <w:adjustRightInd w:val="0"/>
              <w:jc w:val="center"/>
              <w:rPr>
                <w:b/>
                <w:bCs/>
                <w:sz w:val="24"/>
                <w:szCs w:val="24"/>
              </w:rPr>
            </w:pPr>
            <w:r w:rsidRPr="0023298B">
              <w:rPr>
                <w:b/>
                <w:bCs/>
                <w:sz w:val="24"/>
                <w:szCs w:val="24"/>
              </w:rPr>
              <w:t>View</w:t>
            </w:r>
          </w:p>
        </w:tc>
        <w:tc>
          <w:tcPr>
            <w:tcW w:w="1095" w:type="dxa"/>
            <w:tcBorders>
              <w:left w:val="single" w:sz="4" w:space="0" w:color="auto"/>
              <w:right w:val="single" w:sz="4" w:space="0" w:color="auto"/>
            </w:tcBorders>
          </w:tcPr>
          <w:p w14:paraId="6EDA11C2"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c>
          <w:tcPr>
            <w:tcW w:w="1095" w:type="dxa"/>
            <w:tcBorders>
              <w:left w:val="single" w:sz="4" w:space="0" w:color="auto"/>
              <w:right w:val="single" w:sz="4" w:space="0" w:color="auto"/>
            </w:tcBorders>
          </w:tcPr>
          <w:p w14:paraId="3EE83F14"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c>
          <w:tcPr>
            <w:tcW w:w="1095" w:type="dxa"/>
            <w:tcBorders>
              <w:left w:val="single" w:sz="4" w:space="0" w:color="auto"/>
              <w:right w:val="single" w:sz="4" w:space="0" w:color="auto"/>
            </w:tcBorders>
          </w:tcPr>
          <w:p w14:paraId="6EC8C8FD"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c>
          <w:tcPr>
            <w:tcW w:w="1092" w:type="dxa"/>
            <w:tcBorders>
              <w:left w:val="single" w:sz="4" w:space="0" w:color="auto"/>
            </w:tcBorders>
          </w:tcPr>
          <w:p w14:paraId="27D3933D"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r>
      <w:tr w:rsidR="00990531" w14:paraId="2C2CE99F" w14:textId="77777777" w:rsidTr="00E15133">
        <w:tc>
          <w:tcPr>
            <w:tcW w:w="648" w:type="dxa"/>
            <w:vAlign w:val="center"/>
          </w:tcPr>
          <w:p w14:paraId="589AA2BE" w14:textId="77777777" w:rsidR="00990531" w:rsidRPr="00BE25A0" w:rsidRDefault="00990531" w:rsidP="00E15133">
            <w:pPr>
              <w:autoSpaceDE w:val="0"/>
              <w:autoSpaceDN w:val="0"/>
              <w:adjustRightInd w:val="0"/>
              <w:jc w:val="center"/>
              <w:rPr>
                <w:rFonts w:ascii="TimesNewRomanPS-BoldMT" w:hAnsi="TimesNewRomanPS-BoldMT" w:cs="TimesNewRomanPS-BoldMT"/>
                <w:bCs/>
                <w:sz w:val="27"/>
                <w:szCs w:val="27"/>
              </w:rPr>
            </w:pPr>
            <w:r w:rsidRPr="00BE25A0">
              <w:rPr>
                <w:rFonts w:ascii="TimesNewRomanPS-BoldMT" w:hAnsi="TimesNewRomanPS-BoldMT" w:cs="TimesNewRomanPS-BoldMT"/>
                <w:bCs/>
                <w:sz w:val="27"/>
                <w:szCs w:val="27"/>
              </w:rPr>
              <w:t>5</w:t>
            </w:r>
          </w:p>
        </w:tc>
        <w:tc>
          <w:tcPr>
            <w:tcW w:w="2862" w:type="dxa"/>
            <w:vAlign w:val="center"/>
          </w:tcPr>
          <w:p w14:paraId="3F624524" w14:textId="77777777" w:rsidR="00990531" w:rsidRPr="00025C8C" w:rsidRDefault="00990531" w:rsidP="00E15133">
            <w:pPr>
              <w:autoSpaceDE w:val="0"/>
              <w:autoSpaceDN w:val="0"/>
              <w:adjustRightInd w:val="0"/>
              <w:jc w:val="center"/>
              <w:rPr>
                <w:rFonts w:ascii="TimesNewRomanPS-BoldMT" w:hAnsi="TimesNewRomanPS-BoldMT" w:cs="TimesNewRomanPS-BoldMT"/>
                <w:bCs/>
                <w:sz w:val="24"/>
                <w:szCs w:val="24"/>
              </w:rPr>
            </w:pPr>
            <w:r w:rsidRPr="00025C8C">
              <w:rPr>
                <w:rFonts w:ascii="TimesNewRomanPS-BoldMT" w:hAnsi="TimesNewRomanPS-BoldMT" w:cs="TimesNewRomanPS-BoldMT"/>
                <w:bCs/>
                <w:sz w:val="24"/>
                <w:szCs w:val="24"/>
              </w:rPr>
              <w:t>Lesson Plan</w:t>
            </w:r>
          </w:p>
        </w:tc>
        <w:tc>
          <w:tcPr>
            <w:tcW w:w="1474" w:type="dxa"/>
            <w:tcBorders>
              <w:right w:val="single" w:sz="4" w:space="0" w:color="auto"/>
            </w:tcBorders>
          </w:tcPr>
          <w:p w14:paraId="3803420E" w14:textId="77777777" w:rsidR="00990531" w:rsidRPr="00025C8C" w:rsidRDefault="00990531" w:rsidP="00E15133">
            <w:pPr>
              <w:autoSpaceDE w:val="0"/>
              <w:autoSpaceDN w:val="0"/>
              <w:adjustRightInd w:val="0"/>
              <w:jc w:val="center"/>
              <w:rPr>
                <w:b/>
                <w:bCs/>
                <w:sz w:val="24"/>
                <w:szCs w:val="24"/>
              </w:rPr>
            </w:pPr>
            <w:r w:rsidRPr="0023298B">
              <w:rPr>
                <w:b/>
                <w:bCs/>
                <w:sz w:val="24"/>
                <w:szCs w:val="24"/>
              </w:rPr>
              <w:t>View</w:t>
            </w:r>
          </w:p>
        </w:tc>
        <w:tc>
          <w:tcPr>
            <w:tcW w:w="1095" w:type="dxa"/>
            <w:tcBorders>
              <w:left w:val="single" w:sz="4" w:space="0" w:color="auto"/>
              <w:right w:val="single" w:sz="4" w:space="0" w:color="auto"/>
            </w:tcBorders>
          </w:tcPr>
          <w:p w14:paraId="7009F3F7" w14:textId="77777777" w:rsidR="00990531" w:rsidRPr="00025C8C" w:rsidRDefault="00990531" w:rsidP="00E15133">
            <w:pPr>
              <w:autoSpaceDE w:val="0"/>
              <w:autoSpaceDN w:val="0"/>
              <w:adjustRightInd w:val="0"/>
              <w:jc w:val="center"/>
              <w:rPr>
                <w:b/>
                <w:bCs/>
                <w:sz w:val="24"/>
                <w:szCs w:val="24"/>
              </w:rPr>
            </w:pPr>
            <w:r w:rsidRPr="0023298B">
              <w:rPr>
                <w:b/>
                <w:bCs/>
                <w:sz w:val="24"/>
                <w:szCs w:val="24"/>
              </w:rPr>
              <w:t>View</w:t>
            </w:r>
          </w:p>
        </w:tc>
        <w:tc>
          <w:tcPr>
            <w:tcW w:w="1095" w:type="dxa"/>
            <w:tcBorders>
              <w:left w:val="single" w:sz="4" w:space="0" w:color="auto"/>
              <w:right w:val="single" w:sz="4" w:space="0" w:color="auto"/>
            </w:tcBorders>
          </w:tcPr>
          <w:p w14:paraId="48E1459D"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c>
          <w:tcPr>
            <w:tcW w:w="1095" w:type="dxa"/>
            <w:tcBorders>
              <w:left w:val="single" w:sz="4" w:space="0" w:color="auto"/>
              <w:right w:val="single" w:sz="4" w:space="0" w:color="auto"/>
            </w:tcBorders>
          </w:tcPr>
          <w:p w14:paraId="05386DAF"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c>
          <w:tcPr>
            <w:tcW w:w="1095" w:type="dxa"/>
            <w:tcBorders>
              <w:left w:val="single" w:sz="4" w:space="0" w:color="auto"/>
              <w:right w:val="single" w:sz="4" w:space="0" w:color="auto"/>
            </w:tcBorders>
          </w:tcPr>
          <w:p w14:paraId="60D4774A"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c>
          <w:tcPr>
            <w:tcW w:w="1092" w:type="dxa"/>
            <w:tcBorders>
              <w:left w:val="single" w:sz="4" w:space="0" w:color="auto"/>
            </w:tcBorders>
          </w:tcPr>
          <w:p w14:paraId="51F12BDF"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r>
      <w:tr w:rsidR="00990531" w14:paraId="684D86BA" w14:textId="77777777" w:rsidTr="00E15133">
        <w:tc>
          <w:tcPr>
            <w:tcW w:w="648" w:type="dxa"/>
            <w:vAlign w:val="center"/>
          </w:tcPr>
          <w:p w14:paraId="520B49E9" w14:textId="77777777" w:rsidR="00990531" w:rsidRPr="00BE25A0" w:rsidRDefault="00990531" w:rsidP="00E15133">
            <w:pPr>
              <w:autoSpaceDE w:val="0"/>
              <w:autoSpaceDN w:val="0"/>
              <w:adjustRightInd w:val="0"/>
              <w:jc w:val="center"/>
              <w:rPr>
                <w:rFonts w:ascii="TimesNewRomanPS-BoldMT" w:hAnsi="TimesNewRomanPS-BoldMT" w:cs="TimesNewRomanPS-BoldMT"/>
                <w:bCs/>
                <w:sz w:val="27"/>
                <w:szCs w:val="27"/>
              </w:rPr>
            </w:pPr>
            <w:r>
              <w:rPr>
                <w:rFonts w:ascii="TimesNewRomanPS-BoldMT" w:hAnsi="TimesNewRomanPS-BoldMT" w:cs="TimesNewRomanPS-BoldMT"/>
                <w:bCs/>
                <w:sz w:val="27"/>
                <w:szCs w:val="27"/>
              </w:rPr>
              <w:t>6</w:t>
            </w:r>
          </w:p>
        </w:tc>
        <w:tc>
          <w:tcPr>
            <w:tcW w:w="2862" w:type="dxa"/>
            <w:vAlign w:val="center"/>
          </w:tcPr>
          <w:p w14:paraId="161F3E9F" w14:textId="77777777" w:rsidR="00990531" w:rsidRPr="00025C8C" w:rsidRDefault="00990531" w:rsidP="00E15133">
            <w:pPr>
              <w:autoSpaceDE w:val="0"/>
              <w:autoSpaceDN w:val="0"/>
              <w:adjustRightInd w:val="0"/>
              <w:jc w:val="center"/>
              <w:rPr>
                <w:rFonts w:ascii="TimesNewRomanPS-BoldMT" w:hAnsi="TimesNewRomanPS-BoldMT" w:cs="TimesNewRomanPS-BoldMT"/>
                <w:bCs/>
                <w:sz w:val="24"/>
                <w:szCs w:val="24"/>
              </w:rPr>
            </w:pPr>
            <w:r w:rsidRPr="00025C8C">
              <w:rPr>
                <w:rFonts w:ascii="TimesNewRomanPS-BoldMT" w:hAnsi="TimesNewRomanPS-BoldMT" w:cs="TimesNewRomanPS-BoldMT"/>
                <w:bCs/>
                <w:sz w:val="24"/>
                <w:szCs w:val="24"/>
              </w:rPr>
              <w:t>Class Monitoring</w:t>
            </w:r>
          </w:p>
        </w:tc>
        <w:tc>
          <w:tcPr>
            <w:tcW w:w="1474" w:type="dxa"/>
            <w:tcBorders>
              <w:right w:val="single" w:sz="4" w:space="0" w:color="auto"/>
            </w:tcBorders>
          </w:tcPr>
          <w:p w14:paraId="47B21E79" w14:textId="77777777" w:rsidR="00990531" w:rsidRPr="00025C8C" w:rsidRDefault="00990531" w:rsidP="00E15133">
            <w:pPr>
              <w:autoSpaceDE w:val="0"/>
              <w:autoSpaceDN w:val="0"/>
              <w:adjustRightInd w:val="0"/>
              <w:jc w:val="center"/>
              <w:rPr>
                <w:b/>
                <w:bCs/>
                <w:sz w:val="24"/>
                <w:szCs w:val="24"/>
              </w:rPr>
            </w:pPr>
            <w:r w:rsidRPr="0023298B">
              <w:rPr>
                <w:b/>
                <w:bCs/>
                <w:sz w:val="24"/>
                <w:szCs w:val="24"/>
              </w:rPr>
              <w:t>View</w:t>
            </w:r>
          </w:p>
        </w:tc>
        <w:tc>
          <w:tcPr>
            <w:tcW w:w="1095" w:type="dxa"/>
            <w:tcBorders>
              <w:left w:val="single" w:sz="4" w:space="0" w:color="auto"/>
              <w:right w:val="single" w:sz="4" w:space="0" w:color="auto"/>
            </w:tcBorders>
          </w:tcPr>
          <w:p w14:paraId="1747D117" w14:textId="77777777" w:rsidR="00990531" w:rsidRPr="00025C8C" w:rsidRDefault="00990531" w:rsidP="00E15133">
            <w:pPr>
              <w:autoSpaceDE w:val="0"/>
              <w:autoSpaceDN w:val="0"/>
              <w:adjustRightInd w:val="0"/>
              <w:jc w:val="center"/>
              <w:rPr>
                <w:b/>
                <w:bCs/>
                <w:sz w:val="24"/>
                <w:szCs w:val="24"/>
              </w:rPr>
            </w:pPr>
            <w:r w:rsidRPr="0023298B">
              <w:rPr>
                <w:b/>
                <w:bCs/>
                <w:sz w:val="24"/>
                <w:szCs w:val="24"/>
              </w:rPr>
              <w:t>View</w:t>
            </w:r>
          </w:p>
        </w:tc>
        <w:tc>
          <w:tcPr>
            <w:tcW w:w="1095" w:type="dxa"/>
            <w:tcBorders>
              <w:left w:val="single" w:sz="4" w:space="0" w:color="auto"/>
              <w:right w:val="single" w:sz="4" w:space="0" w:color="auto"/>
            </w:tcBorders>
          </w:tcPr>
          <w:p w14:paraId="392D1D9F"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c>
          <w:tcPr>
            <w:tcW w:w="1095" w:type="dxa"/>
            <w:tcBorders>
              <w:left w:val="single" w:sz="4" w:space="0" w:color="auto"/>
              <w:right w:val="single" w:sz="4" w:space="0" w:color="auto"/>
            </w:tcBorders>
          </w:tcPr>
          <w:p w14:paraId="12D6346E"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c>
          <w:tcPr>
            <w:tcW w:w="1095" w:type="dxa"/>
            <w:tcBorders>
              <w:left w:val="single" w:sz="4" w:space="0" w:color="auto"/>
              <w:right w:val="single" w:sz="4" w:space="0" w:color="auto"/>
            </w:tcBorders>
          </w:tcPr>
          <w:p w14:paraId="3EA6275E"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c>
          <w:tcPr>
            <w:tcW w:w="1092" w:type="dxa"/>
            <w:tcBorders>
              <w:left w:val="single" w:sz="4" w:space="0" w:color="auto"/>
            </w:tcBorders>
          </w:tcPr>
          <w:p w14:paraId="07411EF6"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r>
      <w:tr w:rsidR="00990531" w14:paraId="4CC6372C" w14:textId="77777777" w:rsidTr="00E15133">
        <w:tc>
          <w:tcPr>
            <w:tcW w:w="648" w:type="dxa"/>
            <w:vAlign w:val="center"/>
          </w:tcPr>
          <w:p w14:paraId="013672BA" w14:textId="77777777" w:rsidR="00990531" w:rsidRPr="00BE25A0" w:rsidRDefault="00990531" w:rsidP="00E15133">
            <w:pPr>
              <w:autoSpaceDE w:val="0"/>
              <w:autoSpaceDN w:val="0"/>
              <w:adjustRightInd w:val="0"/>
              <w:jc w:val="center"/>
              <w:rPr>
                <w:rFonts w:ascii="TimesNewRomanPS-BoldMT" w:hAnsi="TimesNewRomanPS-BoldMT" w:cs="TimesNewRomanPS-BoldMT"/>
                <w:bCs/>
                <w:sz w:val="27"/>
                <w:szCs w:val="27"/>
              </w:rPr>
            </w:pPr>
            <w:r>
              <w:rPr>
                <w:rFonts w:ascii="TimesNewRomanPS-BoldMT" w:hAnsi="TimesNewRomanPS-BoldMT" w:cs="TimesNewRomanPS-BoldMT"/>
                <w:bCs/>
                <w:sz w:val="27"/>
                <w:szCs w:val="27"/>
              </w:rPr>
              <w:t>7</w:t>
            </w:r>
          </w:p>
        </w:tc>
        <w:tc>
          <w:tcPr>
            <w:tcW w:w="2862" w:type="dxa"/>
            <w:vAlign w:val="center"/>
          </w:tcPr>
          <w:p w14:paraId="20DC054A" w14:textId="77777777" w:rsidR="00990531" w:rsidRPr="00025C8C" w:rsidRDefault="00990531" w:rsidP="00E15133">
            <w:pPr>
              <w:autoSpaceDE w:val="0"/>
              <w:autoSpaceDN w:val="0"/>
              <w:adjustRightInd w:val="0"/>
              <w:jc w:val="center"/>
              <w:rPr>
                <w:rFonts w:ascii="TimesNewRomanPS-BoldMT" w:hAnsi="TimesNewRomanPS-BoldMT" w:cs="TimesNewRomanPS-BoldMT"/>
                <w:bCs/>
                <w:sz w:val="24"/>
                <w:szCs w:val="24"/>
              </w:rPr>
            </w:pPr>
            <w:r w:rsidRPr="00025C8C">
              <w:rPr>
                <w:rFonts w:ascii="TimesNewRomanPS-BoldMT" w:hAnsi="TimesNewRomanPS-BoldMT" w:cs="TimesNewRomanPS-BoldMT"/>
                <w:bCs/>
                <w:sz w:val="24"/>
                <w:szCs w:val="24"/>
              </w:rPr>
              <w:t xml:space="preserve">Syllabus </w:t>
            </w:r>
            <w:r>
              <w:rPr>
                <w:rFonts w:ascii="TimesNewRomanPS-BoldMT" w:hAnsi="TimesNewRomanPS-BoldMT" w:cs="TimesNewRomanPS-BoldMT"/>
                <w:bCs/>
                <w:sz w:val="24"/>
                <w:szCs w:val="24"/>
              </w:rPr>
              <w:t>Tracking</w:t>
            </w:r>
            <w:r w:rsidRPr="00025C8C">
              <w:rPr>
                <w:rFonts w:ascii="TimesNewRomanPS-BoldMT" w:hAnsi="TimesNewRomanPS-BoldMT" w:cs="TimesNewRomanPS-BoldMT"/>
                <w:bCs/>
                <w:sz w:val="24"/>
                <w:szCs w:val="24"/>
              </w:rPr>
              <w:t xml:space="preserve"> </w:t>
            </w:r>
          </w:p>
        </w:tc>
        <w:tc>
          <w:tcPr>
            <w:tcW w:w="1474" w:type="dxa"/>
            <w:tcBorders>
              <w:right w:val="single" w:sz="4" w:space="0" w:color="auto"/>
            </w:tcBorders>
          </w:tcPr>
          <w:p w14:paraId="33C3B8CF" w14:textId="77777777" w:rsidR="00990531" w:rsidRPr="00025C8C" w:rsidRDefault="00990531" w:rsidP="00E15133">
            <w:pPr>
              <w:autoSpaceDE w:val="0"/>
              <w:autoSpaceDN w:val="0"/>
              <w:adjustRightInd w:val="0"/>
              <w:jc w:val="center"/>
              <w:rPr>
                <w:b/>
                <w:bCs/>
                <w:sz w:val="24"/>
                <w:szCs w:val="24"/>
              </w:rPr>
            </w:pPr>
            <w:r w:rsidRPr="0023298B">
              <w:rPr>
                <w:b/>
                <w:bCs/>
                <w:sz w:val="24"/>
                <w:szCs w:val="24"/>
              </w:rPr>
              <w:t>View</w:t>
            </w:r>
          </w:p>
        </w:tc>
        <w:tc>
          <w:tcPr>
            <w:tcW w:w="1095" w:type="dxa"/>
            <w:tcBorders>
              <w:left w:val="single" w:sz="4" w:space="0" w:color="auto"/>
              <w:right w:val="single" w:sz="4" w:space="0" w:color="auto"/>
            </w:tcBorders>
          </w:tcPr>
          <w:p w14:paraId="7695A2C4" w14:textId="77777777" w:rsidR="00990531" w:rsidRPr="00025C8C" w:rsidRDefault="00990531" w:rsidP="00E15133">
            <w:pPr>
              <w:autoSpaceDE w:val="0"/>
              <w:autoSpaceDN w:val="0"/>
              <w:adjustRightInd w:val="0"/>
              <w:jc w:val="center"/>
              <w:rPr>
                <w:b/>
                <w:bCs/>
                <w:sz w:val="24"/>
                <w:szCs w:val="24"/>
              </w:rPr>
            </w:pPr>
            <w:r w:rsidRPr="0023298B">
              <w:rPr>
                <w:b/>
                <w:bCs/>
                <w:sz w:val="24"/>
                <w:szCs w:val="24"/>
              </w:rPr>
              <w:t>View</w:t>
            </w:r>
          </w:p>
        </w:tc>
        <w:tc>
          <w:tcPr>
            <w:tcW w:w="1095" w:type="dxa"/>
            <w:tcBorders>
              <w:left w:val="single" w:sz="4" w:space="0" w:color="auto"/>
              <w:right w:val="single" w:sz="4" w:space="0" w:color="auto"/>
            </w:tcBorders>
          </w:tcPr>
          <w:p w14:paraId="65923F49"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c>
          <w:tcPr>
            <w:tcW w:w="1095" w:type="dxa"/>
            <w:tcBorders>
              <w:left w:val="single" w:sz="4" w:space="0" w:color="auto"/>
              <w:right w:val="single" w:sz="4" w:space="0" w:color="auto"/>
            </w:tcBorders>
          </w:tcPr>
          <w:p w14:paraId="3692C257"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c>
          <w:tcPr>
            <w:tcW w:w="1095" w:type="dxa"/>
            <w:tcBorders>
              <w:left w:val="single" w:sz="4" w:space="0" w:color="auto"/>
              <w:right w:val="single" w:sz="4" w:space="0" w:color="auto"/>
            </w:tcBorders>
          </w:tcPr>
          <w:p w14:paraId="37364FE2"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c>
          <w:tcPr>
            <w:tcW w:w="1092" w:type="dxa"/>
            <w:tcBorders>
              <w:left w:val="single" w:sz="4" w:space="0" w:color="auto"/>
            </w:tcBorders>
          </w:tcPr>
          <w:p w14:paraId="39A3677F" w14:textId="77777777" w:rsidR="00990531" w:rsidRPr="00025C8C" w:rsidRDefault="00990531" w:rsidP="00E15133">
            <w:pPr>
              <w:autoSpaceDE w:val="0"/>
              <w:autoSpaceDN w:val="0"/>
              <w:adjustRightInd w:val="0"/>
              <w:jc w:val="center"/>
              <w:rPr>
                <w:b/>
                <w:bCs/>
                <w:sz w:val="24"/>
                <w:szCs w:val="24"/>
              </w:rPr>
            </w:pPr>
            <w:r w:rsidRPr="00073110">
              <w:rPr>
                <w:b/>
                <w:bCs/>
                <w:sz w:val="24"/>
                <w:szCs w:val="24"/>
              </w:rPr>
              <w:t>View</w:t>
            </w:r>
          </w:p>
        </w:tc>
      </w:tr>
      <w:tr w:rsidR="00990531" w14:paraId="06E11983" w14:textId="77777777" w:rsidTr="00E15133">
        <w:tc>
          <w:tcPr>
            <w:tcW w:w="648" w:type="dxa"/>
            <w:vAlign w:val="center"/>
          </w:tcPr>
          <w:p w14:paraId="6B3F6A20" w14:textId="77777777" w:rsidR="00990531" w:rsidRPr="00BE25A0" w:rsidRDefault="00990531" w:rsidP="00E15133">
            <w:pPr>
              <w:autoSpaceDE w:val="0"/>
              <w:autoSpaceDN w:val="0"/>
              <w:adjustRightInd w:val="0"/>
              <w:jc w:val="center"/>
              <w:rPr>
                <w:rFonts w:ascii="TimesNewRomanPS-BoldMT" w:hAnsi="TimesNewRomanPS-BoldMT" w:cs="TimesNewRomanPS-BoldMT"/>
                <w:bCs/>
                <w:sz w:val="27"/>
                <w:szCs w:val="27"/>
              </w:rPr>
            </w:pPr>
            <w:r>
              <w:rPr>
                <w:rFonts w:ascii="TimesNewRomanPS-BoldMT" w:hAnsi="TimesNewRomanPS-BoldMT" w:cs="TimesNewRomanPS-BoldMT"/>
                <w:bCs/>
                <w:sz w:val="27"/>
                <w:szCs w:val="27"/>
              </w:rPr>
              <w:t>8</w:t>
            </w:r>
          </w:p>
        </w:tc>
        <w:tc>
          <w:tcPr>
            <w:tcW w:w="2862" w:type="dxa"/>
            <w:vAlign w:val="center"/>
          </w:tcPr>
          <w:p w14:paraId="7AD730FA" w14:textId="77777777" w:rsidR="00990531" w:rsidRPr="00025C8C" w:rsidRDefault="00990531" w:rsidP="00E15133">
            <w:pPr>
              <w:autoSpaceDE w:val="0"/>
              <w:autoSpaceDN w:val="0"/>
              <w:adjustRightInd w:val="0"/>
              <w:jc w:val="center"/>
              <w:rPr>
                <w:rFonts w:ascii="TimesNewRomanPS-BoldMT" w:hAnsi="TimesNewRomanPS-BoldMT" w:cs="TimesNewRomanPS-BoldMT"/>
                <w:bCs/>
                <w:sz w:val="24"/>
                <w:szCs w:val="24"/>
              </w:rPr>
            </w:pPr>
            <w:r w:rsidRPr="00025C8C">
              <w:rPr>
                <w:rFonts w:ascii="TimesNewRomanPS-BoldMT" w:hAnsi="TimesNewRomanPS-BoldMT" w:cs="TimesNewRomanPS-BoldMT"/>
                <w:bCs/>
                <w:sz w:val="24"/>
                <w:szCs w:val="24"/>
              </w:rPr>
              <w:t>Course File / CO &amp;</w:t>
            </w:r>
            <w:r>
              <w:rPr>
                <w:rFonts w:ascii="TimesNewRomanPS-BoldMT" w:hAnsi="TimesNewRomanPS-BoldMT" w:cs="TimesNewRomanPS-BoldMT"/>
                <w:bCs/>
                <w:sz w:val="24"/>
                <w:szCs w:val="24"/>
              </w:rPr>
              <w:t xml:space="preserve"> PO</w:t>
            </w:r>
            <w:r w:rsidRPr="00025C8C">
              <w:rPr>
                <w:rFonts w:ascii="TimesNewRomanPS-BoldMT" w:hAnsi="TimesNewRomanPS-BoldMT" w:cs="TimesNewRomanPS-BoldMT"/>
                <w:bCs/>
                <w:sz w:val="24"/>
                <w:szCs w:val="24"/>
              </w:rPr>
              <w:t xml:space="preserve"> Mapping</w:t>
            </w:r>
          </w:p>
        </w:tc>
        <w:tc>
          <w:tcPr>
            <w:tcW w:w="1474" w:type="dxa"/>
            <w:tcBorders>
              <w:right w:val="single" w:sz="4" w:space="0" w:color="auto"/>
            </w:tcBorders>
          </w:tcPr>
          <w:p w14:paraId="2C7EE1A1" w14:textId="77777777" w:rsidR="00990531" w:rsidRPr="00025C8C" w:rsidRDefault="00990531" w:rsidP="00E15133">
            <w:pPr>
              <w:autoSpaceDE w:val="0"/>
              <w:autoSpaceDN w:val="0"/>
              <w:adjustRightInd w:val="0"/>
              <w:jc w:val="center"/>
              <w:rPr>
                <w:bCs/>
                <w:sz w:val="24"/>
                <w:szCs w:val="24"/>
              </w:rPr>
            </w:pPr>
            <w:r w:rsidRPr="0023298B">
              <w:rPr>
                <w:b/>
                <w:bCs/>
                <w:sz w:val="24"/>
                <w:szCs w:val="24"/>
              </w:rPr>
              <w:t>View</w:t>
            </w:r>
          </w:p>
        </w:tc>
        <w:tc>
          <w:tcPr>
            <w:tcW w:w="1095" w:type="dxa"/>
            <w:tcBorders>
              <w:left w:val="single" w:sz="4" w:space="0" w:color="auto"/>
              <w:right w:val="single" w:sz="4" w:space="0" w:color="auto"/>
            </w:tcBorders>
          </w:tcPr>
          <w:p w14:paraId="1AA2AC3E" w14:textId="77777777" w:rsidR="00990531" w:rsidRPr="00025C8C" w:rsidRDefault="00990531" w:rsidP="00E15133">
            <w:pPr>
              <w:autoSpaceDE w:val="0"/>
              <w:autoSpaceDN w:val="0"/>
              <w:adjustRightInd w:val="0"/>
              <w:jc w:val="center"/>
              <w:rPr>
                <w:bCs/>
                <w:sz w:val="24"/>
                <w:szCs w:val="24"/>
              </w:rPr>
            </w:pPr>
            <w:r w:rsidRPr="0023298B">
              <w:rPr>
                <w:b/>
                <w:bCs/>
                <w:sz w:val="24"/>
                <w:szCs w:val="24"/>
              </w:rPr>
              <w:t>View</w:t>
            </w:r>
          </w:p>
        </w:tc>
        <w:tc>
          <w:tcPr>
            <w:tcW w:w="1095" w:type="dxa"/>
            <w:tcBorders>
              <w:left w:val="single" w:sz="4" w:space="0" w:color="auto"/>
              <w:right w:val="single" w:sz="4" w:space="0" w:color="auto"/>
            </w:tcBorders>
          </w:tcPr>
          <w:p w14:paraId="6DB67653" w14:textId="77777777" w:rsidR="00990531" w:rsidRPr="00025C8C" w:rsidRDefault="00990531" w:rsidP="00E15133">
            <w:pPr>
              <w:autoSpaceDE w:val="0"/>
              <w:autoSpaceDN w:val="0"/>
              <w:adjustRightInd w:val="0"/>
              <w:jc w:val="center"/>
              <w:rPr>
                <w:bCs/>
                <w:sz w:val="24"/>
                <w:szCs w:val="24"/>
              </w:rPr>
            </w:pPr>
            <w:r w:rsidRPr="00073110">
              <w:rPr>
                <w:b/>
                <w:bCs/>
                <w:sz w:val="24"/>
                <w:szCs w:val="24"/>
              </w:rPr>
              <w:t>View</w:t>
            </w:r>
          </w:p>
        </w:tc>
        <w:tc>
          <w:tcPr>
            <w:tcW w:w="1095" w:type="dxa"/>
            <w:tcBorders>
              <w:left w:val="single" w:sz="4" w:space="0" w:color="auto"/>
              <w:right w:val="single" w:sz="4" w:space="0" w:color="auto"/>
            </w:tcBorders>
          </w:tcPr>
          <w:p w14:paraId="0BE64A03" w14:textId="77777777" w:rsidR="00990531" w:rsidRPr="00025C8C" w:rsidRDefault="00990531" w:rsidP="00E15133">
            <w:pPr>
              <w:autoSpaceDE w:val="0"/>
              <w:autoSpaceDN w:val="0"/>
              <w:adjustRightInd w:val="0"/>
              <w:jc w:val="center"/>
              <w:rPr>
                <w:bCs/>
                <w:sz w:val="24"/>
                <w:szCs w:val="24"/>
              </w:rPr>
            </w:pPr>
            <w:r w:rsidRPr="00073110">
              <w:rPr>
                <w:b/>
                <w:bCs/>
                <w:sz w:val="24"/>
                <w:szCs w:val="24"/>
              </w:rPr>
              <w:t>View</w:t>
            </w:r>
          </w:p>
        </w:tc>
        <w:tc>
          <w:tcPr>
            <w:tcW w:w="1095" w:type="dxa"/>
            <w:tcBorders>
              <w:left w:val="single" w:sz="4" w:space="0" w:color="auto"/>
              <w:right w:val="single" w:sz="4" w:space="0" w:color="auto"/>
            </w:tcBorders>
          </w:tcPr>
          <w:p w14:paraId="1CB2124F" w14:textId="77777777" w:rsidR="00990531" w:rsidRPr="00025C8C" w:rsidRDefault="00990531" w:rsidP="00E15133">
            <w:pPr>
              <w:autoSpaceDE w:val="0"/>
              <w:autoSpaceDN w:val="0"/>
              <w:adjustRightInd w:val="0"/>
              <w:jc w:val="center"/>
              <w:rPr>
                <w:bCs/>
                <w:sz w:val="24"/>
                <w:szCs w:val="24"/>
              </w:rPr>
            </w:pPr>
            <w:r w:rsidRPr="00073110">
              <w:rPr>
                <w:b/>
                <w:bCs/>
                <w:sz w:val="24"/>
                <w:szCs w:val="24"/>
              </w:rPr>
              <w:t>View</w:t>
            </w:r>
          </w:p>
        </w:tc>
        <w:tc>
          <w:tcPr>
            <w:tcW w:w="1092" w:type="dxa"/>
            <w:tcBorders>
              <w:left w:val="single" w:sz="4" w:space="0" w:color="auto"/>
            </w:tcBorders>
          </w:tcPr>
          <w:p w14:paraId="76752388" w14:textId="77777777" w:rsidR="00990531" w:rsidRPr="00025C8C" w:rsidRDefault="00990531" w:rsidP="00E15133">
            <w:pPr>
              <w:autoSpaceDE w:val="0"/>
              <w:autoSpaceDN w:val="0"/>
              <w:adjustRightInd w:val="0"/>
              <w:jc w:val="center"/>
              <w:rPr>
                <w:bCs/>
                <w:sz w:val="24"/>
                <w:szCs w:val="24"/>
              </w:rPr>
            </w:pPr>
            <w:r w:rsidRPr="00073110">
              <w:rPr>
                <w:b/>
                <w:bCs/>
                <w:sz w:val="24"/>
                <w:szCs w:val="24"/>
              </w:rPr>
              <w:t>View</w:t>
            </w:r>
          </w:p>
        </w:tc>
      </w:tr>
      <w:tr w:rsidR="00990531" w14:paraId="73ECE581" w14:textId="77777777" w:rsidTr="00E15133">
        <w:tc>
          <w:tcPr>
            <w:tcW w:w="648" w:type="dxa"/>
            <w:vAlign w:val="center"/>
          </w:tcPr>
          <w:p w14:paraId="049C68DF" w14:textId="77777777" w:rsidR="00990531" w:rsidRPr="00BE25A0" w:rsidRDefault="00990531" w:rsidP="00E15133">
            <w:pPr>
              <w:autoSpaceDE w:val="0"/>
              <w:autoSpaceDN w:val="0"/>
              <w:adjustRightInd w:val="0"/>
              <w:jc w:val="center"/>
              <w:rPr>
                <w:rFonts w:ascii="TimesNewRomanPS-BoldMT" w:hAnsi="TimesNewRomanPS-BoldMT" w:cs="TimesNewRomanPS-BoldMT"/>
                <w:bCs/>
                <w:sz w:val="27"/>
                <w:szCs w:val="27"/>
              </w:rPr>
            </w:pPr>
            <w:r>
              <w:rPr>
                <w:rFonts w:ascii="TimesNewRomanPS-BoldMT" w:hAnsi="TimesNewRomanPS-BoldMT" w:cs="TimesNewRomanPS-BoldMT"/>
                <w:bCs/>
                <w:sz w:val="27"/>
                <w:szCs w:val="27"/>
              </w:rPr>
              <w:t>9</w:t>
            </w:r>
          </w:p>
        </w:tc>
        <w:tc>
          <w:tcPr>
            <w:tcW w:w="2862" w:type="dxa"/>
            <w:vAlign w:val="center"/>
          </w:tcPr>
          <w:p w14:paraId="7F6FE1EA" w14:textId="77777777" w:rsidR="00990531" w:rsidRPr="00025C8C" w:rsidRDefault="00990531" w:rsidP="00E15133">
            <w:pPr>
              <w:autoSpaceDE w:val="0"/>
              <w:autoSpaceDN w:val="0"/>
              <w:adjustRightInd w:val="0"/>
              <w:jc w:val="center"/>
              <w:rPr>
                <w:rFonts w:ascii="TimesNewRomanPS-BoldMT" w:hAnsi="TimesNewRomanPS-BoldMT" w:cs="TimesNewRomanPS-BoldMT"/>
                <w:bCs/>
                <w:sz w:val="24"/>
                <w:szCs w:val="24"/>
              </w:rPr>
            </w:pPr>
            <w:r w:rsidRPr="00025C8C">
              <w:rPr>
                <w:rFonts w:ascii="TimesNewRomanPS-BoldMT" w:hAnsi="TimesNewRomanPS-BoldMT" w:cs="TimesNewRomanPS-BoldMT"/>
                <w:bCs/>
                <w:sz w:val="24"/>
                <w:szCs w:val="24"/>
              </w:rPr>
              <w:t>Course Assessment</w:t>
            </w:r>
          </w:p>
        </w:tc>
        <w:tc>
          <w:tcPr>
            <w:tcW w:w="1474" w:type="dxa"/>
            <w:tcBorders>
              <w:right w:val="single" w:sz="4" w:space="0" w:color="auto"/>
            </w:tcBorders>
          </w:tcPr>
          <w:p w14:paraId="023AC2FA" w14:textId="77777777" w:rsidR="00990531" w:rsidRPr="00025C8C" w:rsidRDefault="00990531" w:rsidP="00E15133">
            <w:pPr>
              <w:autoSpaceDE w:val="0"/>
              <w:autoSpaceDN w:val="0"/>
              <w:adjustRightInd w:val="0"/>
              <w:jc w:val="center"/>
              <w:rPr>
                <w:bCs/>
                <w:sz w:val="24"/>
                <w:szCs w:val="24"/>
              </w:rPr>
            </w:pPr>
            <w:r w:rsidRPr="0023298B">
              <w:rPr>
                <w:b/>
                <w:bCs/>
                <w:sz w:val="24"/>
                <w:szCs w:val="24"/>
              </w:rPr>
              <w:t>View</w:t>
            </w:r>
          </w:p>
        </w:tc>
        <w:tc>
          <w:tcPr>
            <w:tcW w:w="1095" w:type="dxa"/>
            <w:tcBorders>
              <w:left w:val="single" w:sz="4" w:space="0" w:color="auto"/>
              <w:right w:val="single" w:sz="4" w:space="0" w:color="auto"/>
            </w:tcBorders>
          </w:tcPr>
          <w:p w14:paraId="235692C4" w14:textId="77777777" w:rsidR="00990531" w:rsidRPr="00025C8C" w:rsidRDefault="00990531" w:rsidP="00E15133">
            <w:pPr>
              <w:autoSpaceDE w:val="0"/>
              <w:autoSpaceDN w:val="0"/>
              <w:adjustRightInd w:val="0"/>
              <w:jc w:val="center"/>
              <w:rPr>
                <w:bCs/>
                <w:sz w:val="24"/>
                <w:szCs w:val="24"/>
              </w:rPr>
            </w:pPr>
            <w:r w:rsidRPr="0023298B">
              <w:rPr>
                <w:b/>
                <w:bCs/>
                <w:sz w:val="24"/>
                <w:szCs w:val="24"/>
              </w:rPr>
              <w:t>View</w:t>
            </w:r>
          </w:p>
        </w:tc>
        <w:tc>
          <w:tcPr>
            <w:tcW w:w="1095" w:type="dxa"/>
            <w:tcBorders>
              <w:left w:val="single" w:sz="4" w:space="0" w:color="auto"/>
              <w:right w:val="single" w:sz="4" w:space="0" w:color="auto"/>
            </w:tcBorders>
          </w:tcPr>
          <w:p w14:paraId="4B49278C" w14:textId="77777777" w:rsidR="00990531" w:rsidRPr="00025C8C" w:rsidRDefault="00990531" w:rsidP="00E15133">
            <w:pPr>
              <w:autoSpaceDE w:val="0"/>
              <w:autoSpaceDN w:val="0"/>
              <w:adjustRightInd w:val="0"/>
              <w:jc w:val="center"/>
              <w:rPr>
                <w:bCs/>
                <w:sz w:val="24"/>
                <w:szCs w:val="24"/>
              </w:rPr>
            </w:pPr>
            <w:r w:rsidRPr="00073110">
              <w:rPr>
                <w:b/>
                <w:bCs/>
                <w:sz w:val="24"/>
                <w:szCs w:val="24"/>
              </w:rPr>
              <w:t>View</w:t>
            </w:r>
          </w:p>
        </w:tc>
        <w:tc>
          <w:tcPr>
            <w:tcW w:w="1095" w:type="dxa"/>
            <w:tcBorders>
              <w:left w:val="single" w:sz="4" w:space="0" w:color="auto"/>
              <w:right w:val="single" w:sz="4" w:space="0" w:color="auto"/>
            </w:tcBorders>
          </w:tcPr>
          <w:p w14:paraId="507EF522" w14:textId="77777777" w:rsidR="00990531" w:rsidRPr="00025C8C" w:rsidRDefault="00990531" w:rsidP="00E15133">
            <w:pPr>
              <w:autoSpaceDE w:val="0"/>
              <w:autoSpaceDN w:val="0"/>
              <w:adjustRightInd w:val="0"/>
              <w:jc w:val="center"/>
              <w:rPr>
                <w:bCs/>
                <w:sz w:val="24"/>
                <w:szCs w:val="24"/>
              </w:rPr>
            </w:pPr>
            <w:r w:rsidRPr="00073110">
              <w:rPr>
                <w:b/>
                <w:bCs/>
                <w:sz w:val="24"/>
                <w:szCs w:val="24"/>
              </w:rPr>
              <w:t>View</w:t>
            </w:r>
          </w:p>
        </w:tc>
        <w:tc>
          <w:tcPr>
            <w:tcW w:w="1095" w:type="dxa"/>
            <w:tcBorders>
              <w:left w:val="single" w:sz="4" w:space="0" w:color="auto"/>
              <w:right w:val="single" w:sz="4" w:space="0" w:color="auto"/>
            </w:tcBorders>
          </w:tcPr>
          <w:p w14:paraId="318EF9EF" w14:textId="77777777" w:rsidR="00990531" w:rsidRPr="00025C8C" w:rsidRDefault="00990531" w:rsidP="00E15133">
            <w:pPr>
              <w:autoSpaceDE w:val="0"/>
              <w:autoSpaceDN w:val="0"/>
              <w:adjustRightInd w:val="0"/>
              <w:jc w:val="center"/>
              <w:rPr>
                <w:bCs/>
                <w:sz w:val="24"/>
                <w:szCs w:val="24"/>
              </w:rPr>
            </w:pPr>
            <w:r w:rsidRPr="00073110">
              <w:rPr>
                <w:b/>
                <w:bCs/>
                <w:sz w:val="24"/>
                <w:szCs w:val="24"/>
              </w:rPr>
              <w:t>View</w:t>
            </w:r>
          </w:p>
        </w:tc>
        <w:tc>
          <w:tcPr>
            <w:tcW w:w="1092" w:type="dxa"/>
            <w:tcBorders>
              <w:left w:val="single" w:sz="4" w:space="0" w:color="auto"/>
            </w:tcBorders>
          </w:tcPr>
          <w:p w14:paraId="551724D5" w14:textId="77777777" w:rsidR="00990531" w:rsidRPr="00025C8C" w:rsidRDefault="00990531" w:rsidP="00E15133">
            <w:pPr>
              <w:autoSpaceDE w:val="0"/>
              <w:autoSpaceDN w:val="0"/>
              <w:adjustRightInd w:val="0"/>
              <w:jc w:val="center"/>
              <w:rPr>
                <w:bCs/>
                <w:sz w:val="24"/>
                <w:szCs w:val="24"/>
              </w:rPr>
            </w:pPr>
            <w:r w:rsidRPr="00073110">
              <w:rPr>
                <w:b/>
                <w:bCs/>
                <w:sz w:val="24"/>
                <w:szCs w:val="24"/>
              </w:rPr>
              <w:t>View</w:t>
            </w:r>
          </w:p>
        </w:tc>
      </w:tr>
      <w:tr w:rsidR="00990531" w14:paraId="3013FCD6" w14:textId="77777777" w:rsidTr="00E15133">
        <w:tc>
          <w:tcPr>
            <w:tcW w:w="648" w:type="dxa"/>
            <w:vAlign w:val="center"/>
          </w:tcPr>
          <w:p w14:paraId="622D75CE" w14:textId="77777777" w:rsidR="00990531" w:rsidRPr="00BE25A0" w:rsidRDefault="00990531" w:rsidP="00E15133">
            <w:pPr>
              <w:autoSpaceDE w:val="0"/>
              <w:autoSpaceDN w:val="0"/>
              <w:adjustRightInd w:val="0"/>
              <w:jc w:val="center"/>
              <w:rPr>
                <w:rFonts w:ascii="TimesNewRomanPS-BoldMT" w:hAnsi="TimesNewRomanPS-BoldMT" w:cs="TimesNewRomanPS-BoldMT"/>
                <w:bCs/>
                <w:sz w:val="27"/>
                <w:szCs w:val="27"/>
              </w:rPr>
            </w:pPr>
            <w:r>
              <w:rPr>
                <w:rFonts w:ascii="TimesNewRomanPS-BoldMT" w:hAnsi="TimesNewRomanPS-BoldMT" w:cs="TimesNewRomanPS-BoldMT"/>
                <w:bCs/>
                <w:sz w:val="27"/>
                <w:szCs w:val="27"/>
              </w:rPr>
              <w:t>10</w:t>
            </w:r>
          </w:p>
        </w:tc>
        <w:tc>
          <w:tcPr>
            <w:tcW w:w="2862" w:type="dxa"/>
            <w:vAlign w:val="center"/>
          </w:tcPr>
          <w:p w14:paraId="050D4811" w14:textId="77777777" w:rsidR="00990531" w:rsidRPr="00025C8C" w:rsidRDefault="00990531" w:rsidP="00E15133">
            <w:pPr>
              <w:autoSpaceDE w:val="0"/>
              <w:autoSpaceDN w:val="0"/>
              <w:adjustRightInd w:val="0"/>
              <w:jc w:val="center"/>
              <w:rPr>
                <w:rFonts w:ascii="TimesNewRomanPS-BoldMT" w:hAnsi="TimesNewRomanPS-BoldMT" w:cs="TimesNewRomanPS-BoldMT"/>
                <w:bCs/>
                <w:sz w:val="24"/>
                <w:szCs w:val="24"/>
              </w:rPr>
            </w:pPr>
          </w:p>
        </w:tc>
        <w:tc>
          <w:tcPr>
            <w:tcW w:w="1474" w:type="dxa"/>
            <w:tcBorders>
              <w:right w:val="single" w:sz="4" w:space="0" w:color="auto"/>
            </w:tcBorders>
          </w:tcPr>
          <w:p w14:paraId="69925AB0" w14:textId="77777777" w:rsidR="00990531" w:rsidRPr="00025C8C" w:rsidRDefault="00990531" w:rsidP="00E15133">
            <w:pPr>
              <w:autoSpaceDE w:val="0"/>
              <w:autoSpaceDN w:val="0"/>
              <w:adjustRightInd w:val="0"/>
              <w:jc w:val="center"/>
              <w:rPr>
                <w:b/>
                <w:bCs/>
                <w:sz w:val="24"/>
                <w:szCs w:val="24"/>
              </w:rPr>
            </w:pPr>
          </w:p>
        </w:tc>
        <w:tc>
          <w:tcPr>
            <w:tcW w:w="1095" w:type="dxa"/>
            <w:tcBorders>
              <w:left w:val="single" w:sz="4" w:space="0" w:color="auto"/>
              <w:right w:val="single" w:sz="4" w:space="0" w:color="auto"/>
            </w:tcBorders>
          </w:tcPr>
          <w:p w14:paraId="2EADF9B7" w14:textId="77777777" w:rsidR="00990531" w:rsidRPr="00025C8C" w:rsidRDefault="00990531" w:rsidP="00E15133">
            <w:pPr>
              <w:autoSpaceDE w:val="0"/>
              <w:autoSpaceDN w:val="0"/>
              <w:adjustRightInd w:val="0"/>
              <w:jc w:val="center"/>
              <w:rPr>
                <w:b/>
                <w:bCs/>
                <w:sz w:val="24"/>
                <w:szCs w:val="24"/>
              </w:rPr>
            </w:pPr>
          </w:p>
        </w:tc>
        <w:tc>
          <w:tcPr>
            <w:tcW w:w="1095" w:type="dxa"/>
            <w:tcBorders>
              <w:left w:val="single" w:sz="4" w:space="0" w:color="auto"/>
              <w:right w:val="single" w:sz="4" w:space="0" w:color="auto"/>
            </w:tcBorders>
          </w:tcPr>
          <w:p w14:paraId="6351AAE9" w14:textId="77777777" w:rsidR="00990531" w:rsidRPr="00025C8C" w:rsidRDefault="00990531" w:rsidP="00E15133">
            <w:pPr>
              <w:autoSpaceDE w:val="0"/>
              <w:autoSpaceDN w:val="0"/>
              <w:adjustRightInd w:val="0"/>
              <w:jc w:val="center"/>
              <w:rPr>
                <w:b/>
                <w:bCs/>
                <w:sz w:val="24"/>
                <w:szCs w:val="24"/>
              </w:rPr>
            </w:pPr>
          </w:p>
        </w:tc>
        <w:tc>
          <w:tcPr>
            <w:tcW w:w="1095" w:type="dxa"/>
            <w:tcBorders>
              <w:left w:val="single" w:sz="4" w:space="0" w:color="auto"/>
              <w:right w:val="single" w:sz="4" w:space="0" w:color="auto"/>
            </w:tcBorders>
          </w:tcPr>
          <w:p w14:paraId="4F1686C8" w14:textId="77777777" w:rsidR="00990531" w:rsidRPr="00025C8C" w:rsidRDefault="00990531" w:rsidP="00E15133">
            <w:pPr>
              <w:autoSpaceDE w:val="0"/>
              <w:autoSpaceDN w:val="0"/>
              <w:adjustRightInd w:val="0"/>
              <w:jc w:val="center"/>
              <w:rPr>
                <w:b/>
                <w:bCs/>
                <w:sz w:val="24"/>
                <w:szCs w:val="24"/>
              </w:rPr>
            </w:pPr>
          </w:p>
        </w:tc>
        <w:tc>
          <w:tcPr>
            <w:tcW w:w="1095" w:type="dxa"/>
            <w:tcBorders>
              <w:left w:val="single" w:sz="4" w:space="0" w:color="auto"/>
              <w:right w:val="single" w:sz="4" w:space="0" w:color="auto"/>
            </w:tcBorders>
          </w:tcPr>
          <w:p w14:paraId="2E3D9434" w14:textId="77777777" w:rsidR="00990531" w:rsidRPr="00025C8C" w:rsidRDefault="00990531" w:rsidP="00E15133">
            <w:pPr>
              <w:autoSpaceDE w:val="0"/>
              <w:autoSpaceDN w:val="0"/>
              <w:adjustRightInd w:val="0"/>
              <w:jc w:val="center"/>
              <w:rPr>
                <w:b/>
                <w:bCs/>
                <w:sz w:val="24"/>
                <w:szCs w:val="24"/>
              </w:rPr>
            </w:pPr>
          </w:p>
        </w:tc>
        <w:tc>
          <w:tcPr>
            <w:tcW w:w="1092" w:type="dxa"/>
            <w:tcBorders>
              <w:left w:val="single" w:sz="4" w:space="0" w:color="auto"/>
            </w:tcBorders>
          </w:tcPr>
          <w:p w14:paraId="0B6B57CD" w14:textId="77777777" w:rsidR="00990531" w:rsidRPr="00025C8C" w:rsidRDefault="00990531" w:rsidP="00E15133">
            <w:pPr>
              <w:autoSpaceDE w:val="0"/>
              <w:autoSpaceDN w:val="0"/>
              <w:adjustRightInd w:val="0"/>
              <w:jc w:val="center"/>
              <w:rPr>
                <w:b/>
                <w:bCs/>
                <w:sz w:val="24"/>
                <w:szCs w:val="24"/>
              </w:rPr>
            </w:pPr>
          </w:p>
        </w:tc>
      </w:tr>
    </w:tbl>
    <w:p w14:paraId="09D75B69" w14:textId="77777777" w:rsidR="00990531" w:rsidRPr="00E271E8" w:rsidRDefault="00990531" w:rsidP="00990531">
      <w:pPr>
        <w:spacing w:line="360" w:lineRule="auto"/>
        <w:jc w:val="both"/>
      </w:pPr>
    </w:p>
    <w:p w14:paraId="25DA916E" w14:textId="77777777" w:rsidR="00990531" w:rsidRDefault="00990531" w:rsidP="00990531">
      <w:pPr>
        <w:pStyle w:val="BodyText"/>
        <w:spacing w:before="6"/>
        <w:rPr>
          <w:b/>
          <w:sz w:val="19"/>
        </w:rPr>
      </w:pPr>
    </w:p>
    <w:p w14:paraId="4D09EAF9" w14:textId="77777777" w:rsidR="00990531" w:rsidRDefault="00990531" w:rsidP="00990531">
      <w:pPr>
        <w:pStyle w:val="BodyText"/>
        <w:spacing w:before="6"/>
        <w:rPr>
          <w:b/>
          <w:sz w:val="19"/>
        </w:rPr>
      </w:pPr>
    </w:p>
    <w:p w14:paraId="10882D46" w14:textId="77777777" w:rsidR="00990531" w:rsidRDefault="00990531" w:rsidP="00990531">
      <w:pPr>
        <w:pStyle w:val="BodyText"/>
        <w:spacing w:before="6"/>
        <w:rPr>
          <w:b/>
          <w:sz w:val="19"/>
        </w:rPr>
      </w:pPr>
    </w:p>
    <w:p w14:paraId="533D8F99" w14:textId="77777777" w:rsidR="00990531" w:rsidRDefault="00990531" w:rsidP="00990531">
      <w:pPr>
        <w:pStyle w:val="BodyText"/>
        <w:spacing w:before="6"/>
        <w:rPr>
          <w:b/>
          <w:sz w:val="19"/>
        </w:rPr>
      </w:pPr>
    </w:p>
    <w:p w14:paraId="7BBAD11F" w14:textId="77777777" w:rsidR="00990531" w:rsidRDefault="00990531" w:rsidP="00990531"/>
    <w:p w14:paraId="48F58BB8" w14:textId="77777777" w:rsidR="00990531" w:rsidRPr="008E7546" w:rsidRDefault="00990531" w:rsidP="00990531">
      <w:pPr>
        <w:pStyle w:val="ListParagraph"/>
        <w:numPr>
          <w:ilvl w:val="2"/>
          <w:numId w:val="1"/>
        </w:numPr>
        <w:rPr>
          <w:b/>
          <w:iCs/>
          <w:color w:val="00B050"/>
          <w:sz w:val="24"/>
          <w:szCs w:val="24"/>
        </w:rPr>
      </w:pPr>
      <w:r w:rsidRPr="008E7546">
        <w:rPr>
          <w:b/>
          <w:iCs/>
          <w:color w:val="00B050"/>
          <w:sz w:val="24"/>
          <w:szCs w:val="24"/>
        </w:rPr>
        <w:t>The institution adheres to the academic calendar including for the conduct of CIE</w:t>
      </w:r>
    </w:p>
    <w:p w14:paraId="0EFDFC9F" w14:textId="77777777" w:rsidR="00990531" w:rsidRPr="00F0338E" w:rsidRDefault="00990531" w:rsidP="00990531">
      <w:pPr>
        <w:pStyle w:val="ListParagraph"/>
        <w:ind w:left="720"/>
        <w:rPr>
          <w:b/>
          <w:iCs/>
          <w:sz w:val="24"/>
          <w:szCs w:val="24"/>
        </w:rPr>
      </w:pPr>
    </w:p>
    <w:p w14:paraId="40D10D05" w14:textId="77777777" w:rsidR="00990531" w:rsidRPr="00F0338E" w:rsidRDefault="00990531" w:rsidP="00990531">
      <w:pPr>
        <w:jc w:val="both"/>
        <w:rPr>
          <w:sz w:val="24"/>
          <w:szCs w:val="24"/>
        </w:rPr>
      </w:pPr>
      <w:r w:rsidRPr="00F0338E">
        <w:rPr>
          <w:sz w:val="24"/>
          <w:szCs w:val="24"/>
        </w:rPr>
        <w:t>Every Academic year starts as per the instructions of JNTUK Kakinada. The University will give in advance, publishes the Academic Calendar containing plans for curricular and co-curricular activities based on the available working days as per their norms. The Head of the department and exam cell can prepare Academic calendar in concurrence with the University Calendar. So that the college carries out effective planning that sticks to academic calendar. This allows the teachers and the students to space out their teaching and learning and regular assessment of the same. Approval for the same is given by the Principal after effecting minor changes if required. The academic calendar provides the date of commencement of the academic session, duration of semester, period of internal assessment tests, final semester examinations, etc. The heads of the department can prepare timetable well before starting of every semester to avoid any shortfall in syllabus coverage. Syllabus completion is tracked through periodic checking of lesson plan sheets, class committee meetings, record of class work and Department meetings. The laboratory Schedule is prepared by the concerned Timetable in charge of each department and batch wise details are specified in laboratory schedule. Timetable of regular lectures for the semester is prepared and displayed on the notice board and College Official Website. There is an academic monitoring committee appointed by the principal who monitors the day-to-day conduct of the lectures based on the timetable.</w:t>
      </w:r>
    </w:p>
    <w:p w14:paraId="2EED4791" w14:textId="77777777" w:rsidR="00990531" w:rsidRPr="00F0338E" w:rsidRDefault="00990531" w:rsidP="00990531">
      <w:pPr>
        <w:rPr>
          <w:b/>
          <w:iCs/>
          <w:sz w:val="24"/>
          <w:szCs w:val="24"/>
        </w:rPr>
      </w:pPr>
    </w:p>
    <w:p w14:paraId="5FDF5BD7" w14:textId="77777777" w:rsidR="00990531" w:rsidRPr="0047556C" w:rsidRDefault="00990531" w:rsidP="00990531">
      <w:pPr>
        <w:jc w:val="both"/>
        <w:rPr>
          <w:sz w:val="24"/>
          <w:szCs w:val="24"/>
        </w:rPr>
      </w:pPr>
      <w:r w:rsidRPr="0047556C">
        <w:rPr>
          <w:sz w:val="24"/>
          <w:szCs w:val="24"/>
        </w:rPr>
        <w:t>The institute has taken efforts to improve the performance of students by framing significant reforms in Continuous Internal evaluation at the institute level. The institution strictly follows the evaluation procedure prescribed by the affiliating university. The evaluation weightage is 25 for continuous assessment tests and 75 for the end semester</w:t>
      </w:r>
      <w:r>
        <w:rPr>
          <w:sz w:val="24"/>
          <w:szCs w:val="24"/>
        </w:rPr>
        <w:t xml:space="preserve"> for R19 regulations and 30</w:t>
      </w:r>
      <w:r w:rsidRPr="0047556C">
        <w:rPr>
          <w:sz w:val="24"/>
          <w:szCs w:val="24"/>
        </w:rPr>
        <w:t xml:space="preserve"> for continuous assessment tests and 7</w:t>
      </w:r>
      <w:r>
        <w:rPr>
          <w:sz w:val="24"/>
          <w:szCs w:val="24"/>
        </w:rPr>
        <w:t>0</w:t>
      </w:r>
      <w:r w:rsidRPr="0047556C">
        <w:rPr>
          <w:sz w:val="24"/>
          <w:szCs w:val="24"/>
        </w:rPr>
        <w:t xml:space="preserve"> for the end semester</w:t>
      </w:r>
      <w:r>
        <w:rPr>
          <w:sz w:val="24"/>
          <w:szCs w:val="24"/>
        </w:rPr>
        <w:t xml:space="preserve"> for R16 regulations.</w:t>
      </w:r>
      <w:r w:rsidRPr="0047556C">
        <w:rPr>
          <w:sz w:val="24"/>
          <w:szCs w:val="24"/>
        </w:rPr>
        <w:t xml:space="preserve"> The academic calendar for each semester is prepared in line with the University schedule of events, which provides the information on scheduled timetable for internal assessments, model examinations and the tentative schedule of University practical examinations regarding this</w:t>
      </w:r>
      <w:r>
        <w:rPr>
          <w:sz w:val="24"/>
          <w:szCs w:val="24"/>
        </w:rPr>
        <w:t>,</w:t>
      </w:r>
      <w:r w:rsidRPr="0047556C">
        <w:rPr>
          <w:sz w:val="24"/>
          <w:szCs w:val="24"/>
        </w:rPr>
        <w:t xml:space="preserve"> the students can plan the course of action. The question paper pattern for the internal examinations has been standardized by the institution. Blooms taxonomy is strictly followed in setting up the mid question papers for Internal Assessment. About the </w:t>
      </w:r>
      <w:r>
        <w:rPr>
          <w:sz w:val="24"/>
          <w:szCs w:val="24"/>
        </w:rPr>
        <w:t xml:space="preserve">Mid Examinations the </w:t>
      </w:r>
      <w:r w:rsidRPr="0047556C">
        <w:rPr>
          <w:sz w:val="24"/>
          <w:szCs w:val="24"/>
        </w:rPr>
        <w:t>facult</w:t>
      </w:r>
      <w:r>
        <w:rPr>
          <w:sz w:val="24"/>
          <w:szCs w:val="24"/>
        </w:rPr>
        <w:t>y members can</w:t>
      </w:r>
      <w:r w:rsidRPr="0047556C">
        <w:rPr>
          <w:sz w:val="24"/>
          <w:szCs w:val="24"/>
        </w:rPr>
        <w:t xml:space="preserve"> prepare 3 sets of question papers that are submitted to the exam cell</w:t>
      </w:r>
      <w:r>
        <w:rPr>
          <w:sz w:val="24"/>
          <w:szCs w:val="24"/>
        </w:rPr>
        <w:t xml:space="preserve"> in sealed cover</w:t>
      </w:r>
      <w:r w:rsidRPr="0047556C">
        <w:rPr>
          <w:sz w:val="24"/>
          <w:szCs w:val="24"/>
        </w:rPr>
        <w:t>, wherein the Head of the Institution select a question paper from the</w:t>
      </w:r>
      <w:r>
        <w:rPr>
          <w:sz w:val="24"/>
          <w:szCs w:val="24"/>
        </w:rPr>
        <w:t xml:space="preserve"> 3</w:t>
      </w:r>
      <w:r w:rsidRPr="0047556C">
        <w:rPr>
          <w:sz w:val="24"/>
          <w:szCs w:val="24"/>
        </w:rPr>
        <w:t xml:space="preserve"> sets, and it is distributed to the students at the time of </w:t>
      </w:r>
      <w:r w:rsidRPr="00CE538E">
        <w:rPr>
          <w:sz w:val="24"/>
          <w:szCs w:val="24"/>
        </w:rPr>
        <w:t>examination</w:t>
      </w:r>
      <w:r w:rsidRPr="0047556C">
        <w:rPr>
          <w:sz w:val="24"/>
          <w:szCs w:val="24"/>
        </w:rPr>
        <w:t xml:space="preserve">. Student marks are intimated to the students immediately after the completion of assessment and the same is communicated to their parents through </w:t>
      </w:r>
      <w:r w:rsidRPr="00CE538E">
        <w:rPr>
          <w:sz w:val="24"/>
          <w:szCs w:val="24"/>
        </w:rPr>
        <w:t>SMS/Phone call</w:t>
      </w:r>
      <w:r w:rsidRPr="0047556C">
        <w:rPr>
          <w:sz w:val="24"/>
          <w:szCs w:val="24"/>
        </w:rPr>
        <w:t>. The academic performance of the student and attendance of the student have maintained and recorded in each department.  Unit tests are conducted prior to MID examinations. Topic wise question banks are provided for all subjects.  Students are encouraged to solve previous years University Exam question papers and prefinal exams are conducted prior to University Exams.</w:t>
      </w:r>
    </w:p>
    <w:p w14:paraId="16D342F7" w14:textId="77777777" w:rsidR="00990531" w:rsidRPr="00450CF6" w:rsidRDefault="00990531" w:rsidP="00990531">
      <w:pPr>
        <w:rPr>
          <w:b/>
          <w:iCs/>
          <w:sz w:val="24"/>
          <w:szCs w:val="24"/>
        </w:rPr>
      </w:pPr>
    </w:p>
    <w:p w14:paraId="41BCBADF" w14:textId="77777777" w:rsidR="00990531" w:rsidRPr="0052526D" w:rsidRDefault="00990531" w:rsidP="00990531">
      <w:pPr>
        <w:autoSpaceDE w:val="0"/>
        <w:autoSpaceDN w:val="0"/>
        <w:adjustRightInd w:val="0"/>
        <w:jc w:val="center"/>
        <w:rPr>
          <w:rFonts w:ascii="TimesNewRomanPS-BoldMT" w:hAnsi="TimesNewRomanPS-BoldMT" w:cs="TimesNewRomanPS-BoldMT"/>
          <w:b/>
          <w:bCs/>
          <w:sz w:val="27"/>
          <w:szCs w:val="27"/>
          <w:u w:val="single"/>
        </w:rPr>
      </w:pPr>
      <w:r w:rsidRPr="0052526D">
        <w:rPr>
          <w:rFonts w:ascii="TimesNewRomanPS-BoldMT" w:hAnsi="TimesNewRomanPS-BoldMT" w:cs="TimesNewRomanPS-BoldMT"/>
          <w:b/>
          <w:bCs/>
          <w:sz w:val="27"/>
          <w:szCs w:val="27"/>
          <w:u w:val="single"/>
        </w:rPr>
        <w:t>Supporting Document</w:t>
      </w:r>
    </w:p>
    <w:p w14:paraId="0059DF3F" w14:textId="77777777" w:rsidR="00990531" w:rsidRDefault="00990531" w:rsidP="00990531">
      <w:pPr>
        <w:autoSpaceDE w:val="0"/>
        <w:autoSpaceDN w:val="0"/>
        <w:adjustRightInd w:val="0"/>
        <w:rPr>
          <w:rFonts w:ascii="TimesNewRomanPS-BoldMT" w:hAnsi="TimesNewRomanPS-BoldMT" w:cs="TimesNewRomanPS-BoldMT"/>
          <w:b/>
          <w:bCs/>
          <w:sz w:val="27"/>
          <w:szCs w:val="27"/>
        </w:rPr>
      </w:pPr>
    </w:p>
    <w:tbl>
      <w:tblPr>
        <w:tblStyle w:val="TableGrid"/>
        <w:tblW w:w="8081" w:type="dxa"/>
        <w:jc w:val="center"/>
        <w:tblLook w:val="04A0" w:firstRow="1" w:lastRow="0" w:firstColumn="1" w:lastColumn="0" w:noHBand="0" w:noVBand="1"/>
      </w:tblPr>
      <w:tblGrid>
        <w:gridCol w:w="950"/>
        <w:gridCol w:w="3688"/>
        <w:gridCol w:w="3443"/>
      </w:tblGrid>
      <w:tr w:rsidR="00990531" w:rsidRPr="003522D8" w14:paraId="2FE3D539" w14:textId="77777777" w:rsidTr="00E15133">
        <w:trPr>
          <w:trHeight w:val="305"/>
          <w:jc w:val="center"/>
        </w:trPr>
        <w:tc>
          <w:tcPr>
            <w:tcW w:w="950" w:type="dxa"/>
          </w:tcPr>
          <w:p w14:paraId="12D62C63" w14:textId="77777777" w:rsidR="00990531" w:rsidRPr="003522D8" w:rsidRDefault="00990531" w:rsidP="00E15133">
            <w:pPr>
              <w:jc w:val="center"/>
              <w:rPr>
                <w:b/>
                <w:sz w:val="24"/>
                <w:szCs w:val="24"/>
              </w:rPr>
            </w:pPr>
            <w:r w:rsidRPr="003522D8">
              <w:rPr>
                <w:b/>
                <w:sz w:val="24"/>
                <w:szCs w:val="24"/>
              </w:rPr>
              <w:t>Sl. No</w:t>
            </w:r>
          </w:p>
        </w:tc>
        <w:tc>
          <w:tcPr>
            <w:tcW w:w="3688" w:type="dxa"/>
          </w:tcPr>
          <w:p w14:paraId="3D7183CB" w14:textId="77777777" w:rsidR="00990531" w:rsidRPr="003522D8" w:rsidRDefault="00990531" w:rsidP="00E15133">
            <w:pPr>
              <w:jc w:val="center"/>
              <w:rPr>
                <w:b/>
                <w:sz w:val="24"/>
                <w:szCs w:val="24"/>
              </w:rPr>
            </w:pPr>
            <w:r w:rsidRPr="003522D8">
              <w:rPr>
                <w:b/>
                <w:sz w:val="24"/>
                <w:szCs w:val="24"/>
              </w:rPr>
              <w:t>Content</w:t>
            </w:r>
          </w:p>
        </w:tc>
        <w:tc>
          <w:tcPr>
            <w:tcW w:w="3443" w:type="dxa"/>
          </w:tcPr>
          <w:p w14:paraId="46D9E2EF" w14:textId="77777777" w:rsidR="00990531" w:rsidRPr="003522D8" w:rsidRDefault="00990531" w:rsidP="00E15133">
            <w:pPr>
              <w:jc w:val="center"/>
              <w:rPr>
                <w:b/>
                <w:sz w:val="24"/>
                <w:szCs w:val="24"/>
              </w:rPr>
            </w:pPr>
            <w:r w:rsidRPr="0035324A">
              <w:rPr>
                <w:b/>
                <w:sz w:val="24"/>
                <w:szCs w:val="24"/>
              </w:rPr>
              <w:t>Link to the relevant document</w:t>
            </w:r>
          </w:p>
        </w:tc>
      </w:tr>
      <w:tr w:rsidR="00990531" w:rsidRPr="003522D8" w14:paraId="70823008" w14:textId="77777777" w:rsidTr="00E15133">
        <w:trPr>
          <w:trHeight w:val="305"/>
          <w:jc w:val="center"/>
        </w:trPr>
        <w:tc>
          <w:tcPr>
            <w:tcW w:w="950" w:type="dxa"/>
          </w:tcPr>
          <w:p w14:paraId="5277C2D9" w14:textId="77777777" w:rsidR="00990531" w:rsidRPr="00701092" w:rsidRDefault="00990531" w:rsidP="00E15133">
            <w:pPr>
              <w:jc w:val="center"/>
              <w:rPr>
                <w:sz w:val="24"/>
                <w:szCs w:val="24"/>
              </w:rPr>
            </w:pPr>
            <w:r w:rsidRPr="00701092">
              <w:rPr>
                <w:sz w:val="24"/>
                <w:szCs w:val="24"/>
              </w:rPr>
              <w:t>1</w:t>
            </w:r>
          </w:p>
        </w:tc>
        <w:tc>
          <w:tcPr>
            <w:tcW w:w="3688" w:type="dxa"/>
          </w:tcPr>
          <w:p w14:paraId="577AE230" w14:textId="77777777" w:rsidR="00990531" w:rsidRPr="003522D8" w:rsidRDefault="00990531" w:rsidP="00E15133">
            <w:pPr>
              <w:jc w:val="center"/>
              <w:rPr>
                <w:b/>
                <w:sz w:val="24"/>
                <w:szCs w:val="24"/>
              </w:rPr>
            </w:pPr>
            <w:r w:rsidRPr="003522D8">
              <w:rPr>
                <w:sz w:val="24"/>
                <w:szCs w:val="24"/>
              </w:rPr>
              <w:t>AICTE Examination Reform Policy</w:t>
            </w:r>
          </w:p>
        </w:tc>
        <w:tc>
          <w:tcPr>
            <w:tcW w:w="3443" w:type="dxa"/>
          </w:tcPr>
          <w:p w14:paraId="20441FBC" w14:textId="77777777" w:rsidR="00990531" w:rsidRPr="00CA2596" w:rsidRDefault="00990531" w:rsidP="00E15133">
            <w:pPr>
              <w:jc w:val="center"/>
              <w:rPr>
                <w:rStyle w:val="Hyperlink"/>
              </w:rPr>
            </w:pPr>
            <w:hyperlink r:id="rId5" w:history="1">
              <w:r w:rsidRPr="00CA2596">
                <w:rPr>
                  <w:rStyle w:val="Hyperlink"/>
                </w:rPr>
                <w:t>View Document</w:t>
              </w:r>
            </w:hyperlink>
          </w:p>
        </w:tc>
      </w:tr>
      <w:tr w:rsidR="00990531" w:rsidRPr="003522D8" w14:paraId="25CBAE8D" w14:textId="77777777" w:rsidTr="00E15133">
        <w:trPr>
          <w:jc w:val="center"/>
        </w:trPr>
        <w:tc>
          <w:tcPr>
            <w:tcW w:w="950" w:type="dxa"/>
          </w:tcPr>
          <w:p w14:paraId="4D79A0B6" w14:textId="77777777" w:rsidR="00990531" w:rsidRPr="00701092" w:rsidRDefault="00990531" w:rsidP="00E15133">
            <w:pPr>
              <w:jc w:val="center"/>
              <w:rPr>
                <w:sz w:val="24"/>
                <w:szCs w:val="24"/>
              </w:rPr>
            </w:pPr>
            <w:r w:rsidRPr="00701092">
              <w:rPr>
                <w:sz w:val="24"/>
                <w:szCs w:val="24"/>
              </w:rPr>
              <w:t>2</w:t>
            </w:r>
          </w:p>
        </w:tc>
        <w:tc>
          <w:tcPr>
            <w:tcW w:w="3688" w:type="dxa"/>
          </w:tcPr>
          <w:p w14:paraId="4E173F0E" w14:textId="77777777" w:rsidR="00990531" w:rsidRPr="003522D8" w:rsidRDefault="00990531" w:rsidP="00E15133">
            <w:pPr>
              <w:jc w:val="center"/>
              <w:rPr>
                <w:b/>
                <w:sz w:val="24"/>
                <w:szCs w:val="24"/>
              </w:rPr>
            </w:pPr>
            <w:r w:rsidRPr="003522D8">
              <w:rPr>
                <w:sz w:val="24"/>
                <w:szCs w:val="24"/>
              </w:rPr>
              <w:t>JNTU A</w:t>
            </w:r>
            <w:r w:rsidRPr="00351510">
              <w:rPr>
                <w:sz w:val="24"/>
                <w:szCs w:val="24"/>
              </w:rPr>
              <w:t>cademic Calendar</w:t>
            </w:r>
          </w:p>
        </w:tc>
        <w:tc>
          <w:tcPr>
            <w:tcW w:w="3443" w:type="dxa"/>
          </w:tcPr>
          <w:p w14:paraId="6CDAED3A" w14:textId="77777777" w:rsidR="00990531" w:rsidRPr="00CA2596" w:rsidRDefault="00990531" w:rsidP="00E15133">
            <w:pPr>
              <w:jc w:val="center"/>
              <w:rPr>
                <w:rStyle w:val="Hyperlink"/>
              </w:rPr>
            </w:pPr>
            <w:hyperlink r:id="rId6" w:history="1">
              <w:r w:rsidRPr="00CA2596">
                <w:rPr>
                  <w:rStyle w:val="Hyperlink"/>
                </w:rPr>
                <w:t>View Document</w:t>
              </w:r>
            </w:hyperlink>
          </w:p>
        </w:tc>
      </w:tr>
      <w:tr w:rsidR="00990531" w:rsidRPr="003522D8" w14:paraId="64ABA585" w14:textId="77777777" w:rsidTr="00E15133">
        <w:trPr>
          <w:jc w:val="center"/>
        </w:trPr>
        <w:tc>
          <w:tcPr>
            <w:tcW w:w="950" w:type="dxa"/>
          </w:tcPr>
          <w:p w14:paraId="11F42108" w14:textId="77777777" w:rsidR="00990531" w:rsidRPr="00701092" w:rsidRDefault="00990531" w:rsidP="00E15133">
            <w:pPr>
              <w:jc w:val="center"/>
              <w:rPr>
                <w:sz w:val="24"/>
                <w:szCs w:val="24"/>
              </w:rPr>
            </w:pPr>
            <w:r w:rsidRPr="00701092">
              <w:rPr>
                <w:sz w:val="24"/>
                <w:szCs w:val="24"/>
              </w:rPr>
              <w:lastRenderedPageBreak/>
              <w:t>3</w:t>
            </w:r>
          </w:p>
        </w:tc>
        <w:tc>
          <w:tcPr>
            <w:tcW w:w="3688" w:type="dxa"/>
          </w:tcPr>
          <w:p w14:paraId="5DA3E029" w14:textId="77777777" w:rsidR="00990531" w:rsidRPr="003522D8" w:rsidRDefault="00990531" w:rsidP="00E15133">
            <w:pPr>
              <w:jc w:val="center"/>
              <w:rPr>
                <w:sz w:val="24"/>
                <w:szCs w:val="24"/>
              </w:rPr>
            </w:pPr>
            <w:r w:rsidRPr="003522D8">
              <w:rPr>
                <w:sz w:val="24"/>
                <w:szCs w:val="24"/>
              </w:rPr>
              <w:t>Institute Academic Calendars</w:t>
            </w:r>
          </w:p>
        </w:tc>
        <w:tc>
          <w:tcPr>
            <w:tcW w:w="3443" w:type="dxa"/>
          </w:tcPr>
          <w:p w14:paraId="72DB5DD5" w14:textId="77777777" w:rsidR="00990531" w:rsidRPr="00CA2596" w:rsidRDefault="00990531" w:rsidP="00E15133">
            <w:pPr>
              <w:jc w:val="center"/>
              <w:rPr>
                <w:rStyle w:val="Hyperlink"/>
              </w:rPr>
            </w:pPr>
            <w:hyperlink r:id="rId7" w:history="1">
              <w:r w:rsidRPr="0035324A">
                <w:rPr>
                  <w:rStyle w:val="Hyperlink"/>
                </w:rPr>
                <w:t>View Document</w:t>
              </w:r>
            </w:hyperlink>
          </w:p>
        </w:tc>
      </w:tr>
      <w:tr w:rsidR="00990531" w:rsidRPr="003522D8" w14:paraId="0D9A3695" w14:textId="77777777" w:rsidTr="00E15133">
        <w:trPr>
          <w:jc w:val="center"/>
        </w:trPr>
        <w:tc>
          <w:tcPr>
            <w:tcW w:w="950" w:type="dxa"/>
          </w:tcPr>
          <w:p w14:paraId="27F9C3F2" w14:textId="77777777" w:rsidR="00990531" w:rsidRPr="00701092" w:rsidRDefault="00990531" w:rsidP="00E15133">
            <w:pPr>
              <w:jc w:val="center"/>
              <w:rPr>
                <w:sz w:val="24"/>
                <w:szCs w:val="24"/>
              </w:rPr>
            </w:pPr>
            <w:r w:rsidRPr="00701092">
              <w:rPr>
                <w:sz w:val="24"/>
                <w:szCs w:val="24"/>
              </w:rPr>
              <w:t>4</w:t>
            </w:r>
          </w:p>
        </w:tc>
        <w:tc>
          <w:tcPr>
            <w:tcW w:w="3688" w:type="dxa"/>
          </w:tcPr>
          <w:p w14:paraId="33DEF295" w14:textId="77777777" w:rsidR="00990531" w:rsidRPr="003522D8" w:rsidRDefault="00990531" w:rsidP="00E15133">
            <w:pPr>
              <w:jc w:val="center"/>
              <w:rPr>
                <w:sz w:val="24"/>
                <w:szCs w:val="24"/>
              </w:rPr>
            </w:pPr>
            <w:r w:rsidRPr="003522D8">
              <w:rPr>
                <w:sz w:val="24"/>
                <w:szCs w:val="24"/>
              </w:rPr>
              <w:t>Department Academic Calendars</w:t>
            </w:r>
          </w:p>
        </w:tc>
        <w:tc>
          <w:tcPr>
            <w:tcW w:w="3443" w:type="dxa"/>
          </w:tcPr>
          <w:p w14:paraId="0B0D058A" w14:textId="77777777" w:rsidR="00990531" w:rsidRPr="00CA2596" w:rsidRDefault="00990531" w:rsidP="00E15133">
            <w:pPr>
              <w:jc w:val="center"/>
              <w:rPr>
                <w:rStyle w:val="Hyperlink"/>
              </w:rPr>
            </w:pPr>
            <w:hyperlink r:id="rId8" w:history="1">
              <w:r w:rsidRPr="0035324A">
                <w:rPr>
                  <w:rStyle w:val="Hyperlink"/>
                </w:rPr>
                <w:t>View Document</w:t>
              </w:r>
            </w:hyperlink>
          </w:p>
        </w:tc>
      </w:tr>
      <w:tr w:rsidR="00990531" w:rsidRPr="003522D8" w14:paraId="6666BA6E" w14:textId="77777777" w:rsidTr="00E15133">
        <w:trPr>
          <w:trHeight w:val="368"/>
          <w:jc w:val="center"/>
        </w:trPr>
        <w:tc>
          <w:tcPr>
            <w:tcW w:w="950" w:type="dxa"/>
          </w:tcPr>
          <w:p w14:paraId="702CB57D" w14:textId="77777777" w:rsidR="00990531" w:rsidRPr="003522D8" w:rsidRDefault="00990531" w:rsidP="00E15133">
            <w:pPr>
              <w:jc w:val="center"/>
              <w:rPr>
                <w:b/>
                <w:sz w:val="24"/>
                <w:szCs w:val="24"/>
              </w:rPr>
            </w:pPr>
            <w:r>
              <w:rPr>
                <w:b/>
                <w:sz w:val="24"/>
                <w:szCs w:val="24"/>
              </w:rPr>
              <w:t>5</w:t>
            </w:r>
          </w:p>
        </w:tc>
        <w:tc>
          <w:tcPr>
            <w:tcW w:w="3688" w:type="dxa"/>
          </w:tcPr>
          <w:p w14:paraId="7E3B618F" w14:textId="77777777" w:rsidR="00990531" w:rsidRPr="003522D8" w:rsidRDefault="00990531" w:rsidP="00E15133">
            <w:pPr>
              <w:autoSpaceDE w:val="0"/>
              <w:autoSpaceDN w:val="0"/>
              <w:adjustRightInd w:val="0"/>
              <w:jc w:val="center"/>
              <w:rPr>
                <w:bCs/>
                <w:sz w:val="24"/>
                <w:szCs w:val="24"/>
              </w:rPr>
            </w:pPr>
            <w:r w:rsidRPr="003522D8">
              <w:rPr>
                <w:bCs/>
                <w:sz w:val="24"/>
                <w:szCs w:val="24"/>
              </w:rPr>
              <w:t>Class Timetable</w:t>
            </w:r>
          </w:p>
        </w:tc>
        <w:tc>
          <w:tcPr>
            <w:tcW w:w="3443" w:type="dxa"/>
          </w:tcPr>
          <w:p w14:paraId="471AB38B" w14:textId="77777777" w:rsidR="00990531" w:rsidRPr="00CA2596" w:rsidRDefault="00990531" w:rsidP="00E15133">
            <w:pPr>
              <w:jc w:val="center"/>
              <w:rPr>
                <w:rStyle w:val="Hyperlink"/>
              </w:rPr>
            </w:pPr>
            <w:r w:rsidRPr="00CA2596">
              <w:rPr>
                <w:rStyle w:val="Hyperlink"/>
              </w:rPr>
              <w:t>View Document</w:t>
            </w:r>
          </w:p>
        </w:tc>
      </w:tr>
      <w:tr w:rsidR="00990531" w:rsidRPr="003522D8" w14:paraId="359D2900" w14:textId="77777777" w:rsidTr="00E15133">
        <w:trPr>
          <w:jc w:val="center"/>
        </w:trPr>
        <w:tc>
          <w:tcPr>
            <w:tcW w:w="950" w:type="dxa"/>
          </w:tcPr>
          <w:p w14:paraId="0E0AED20" w14:textId="77777777" w:rsidR="00990531" w:rsidRPr="003522D8" w:rsidRDefault="00990531" w:rsidP="00E15133">
            <w:pPr>
              <w:autoSpaceDE w:val="0"/>
              <w:autoSpaceDN w:val="0"/>
              <w:adjustRightInd w:val="0"/>
              <w:jc w:val="center"/>
              <w:rPr>
                <w:bCs/>
                <w:sz w:val="24"/>
                <w:szCs w:val="24"/>
              </w:rPr>
            </w:pPr>
            <w:r>
              <w:rPr>
                <w:bCs/>
                <w:sz w:val="24"/>
                <w:szCs w:val="24"/>
              </w:rPr>
              <w:t>6</w:t>
            </w:r>
          </w:p>
        </w:tc>
        <w:tc>
          <w:tcPr>
            <w:tcW w:w="3688" w:type="dxa"/>
          </w:tcPr>
          <w:p w14:paraId="54378BF6" w14:textId="77777777" w:rsidR="00990531" w:rsidRPr="003522D8" w:rsidRDefault="00990531" w:rsidP="00E15133">
            <w:pPr>
              <w:autoSpaceDE w:val="0"/>
              <w:autoSpaceDN w:val="0"/>
              <w:adjustRightInd w:val="0"/>
              <w:jc w:val="center"/>
              <w:rPr>
                <w:bCs/>
                <w:sz w:val="24"/>
                <w:szCs w:val="24"/>
              </w:rPr>
            </w:pPr>
            <w:r w:rsidRPr="003522D8">
              <w:rPr>
                <w:bCs/>
                <w:sz w:val="24"/>
                <w:szCs w:val="24"/>
              </w:rPr>
              <w:t>Mid Timetable and University Examination Timetable</w:t>
            </w:r>
          </w:p>
        </w:tc>
        <w:tc>
          <w:tcPr>
            <w:tcW w:w="3443" w:type="dxa"/>
          </w:tcPr>
          <w:p w14:paraId="72014411" w14:textId="77777777" w:rsidR="00990531" w:rsidRPr="00CA2596" w:rsidRDefault="00990531" w:rsidP="00E15133">
            <w:pPr>
              <w:jc w:val="center"/>
              <w:rPr>
                <w:rStyle w:val="Hyperlink"/>
              </w:rPr>
            </w:pPr>
            <w:hyperlink r:id="rId9" w:history="1">
              <w:r w:rsidRPr="0035324A">
                <w:rPr>
                  <w:rStyle w:val="Hyperlink"/>
                </w:rPr>
                <w:t>View Document</w:t>
              </w:r>
            </w:hyperlink>
          </w:p>
        </w:tc>
      </w:tr>
      <w:tr w:rsidR="00990531" w:rsidRPr="003522D8" w14:paraId="6E82B9F6" w14:textId="77777777" w:rsidTr="00E15133">
        <w:trPr>
          <w:trHeight w:val="395"/>
          <w:jc w:val="center"/>
        </w:trPr>
        <w:tc>
          <w:tcPr>
            <w:tcW w:w="950" w:type="dxa"/>
          </w:tcPr>
          <w:p w14:paraId="693AC355" w14:textId="77777777" w:rsidR="00990531" w:rsidRPr="003522D8" w:rsidRDefault="00990531" w:rsidP="00E15133">
            <w:pPr>
              <w:autoSpaceDE w:val="0"/>
              <w:autoSpaceDN w:val="0"/>
              <w:adjustRightInd w:val="0"/>
              <w:jc w:val="center"/>
              <w:rPr>
                <w:bCs/>
                <w:sz w:val="24"/>
                <w:szCs w:val="24"/>
              </w:rPr>
            </w:pPr>
            <w:r>
              <w:rPr>
                <w:bCs/>
                <w:sz w:val="24"/>
                <w:szCs w:val="24"/>
              </w:rPr>
              <w:t>7</w:t>
            </w:r>
          </w:p>
        </w:tc>
        <w:tc>
          <w:tcPr>
            <w:tcW w:w="3688" w:type="dxa"/>
          </w:tcPr>
          <w:p w14:paraId="0E648805" w14:textId="77777777" w:rsidR="00990531" w:rsidRPr="003522D8" w:rsidRDefault="00990531" w:rsidP="00E15133">
            <w:pPr>
              <w:autoSpaceDE w:val="0"/>
              <w:autoSpaceDN w:val="0"/>
              <w:adjustRightInd w:val="0"/>
              <w:jc w:val="center"/>
              <w:rPr>
                <w:bCs/>
                <w:sz w:val="24"/>
                <w:szCs w:val="24"/>
              </w:rPr>
            </w:pPr>
            <w:r w:rsidRPr="003522D8">
              <w:rPr>
                <w:sz w:val="24"/>
                <w:szCs w:val="24"/>
              </w:rPr>
              <w:t>CIE Procedure</w:t>
            </w:r>
          </w:p>
        </w:tc>
        <w:tc>
          <w:tcPr>
            <w:tcW w:w="3443" w:type="dxa"/>
          </w:tcPr>
          <w:p w14:paraId="41C2F01F" w14:textId="77777777" w:rsidR="00990531" w:rsidRPr="00CA2596" w:rsidRDefault="00990531" w:rsidP="00E15133">
            <w:pPr>
              <w:jc w:val="center"/>
              <w:rPr>
                <w:rStyle w:val="Hyperlink"/>
              </w:rPr>
            </w:pPr>
            <w:hyperlink r:id="rId10" w:history="1">
              <w:r w:rsidRPr="0035324A">
                <w:rPr>
                  <w:rStyle w:val="Hyperlink"/>
                </w:rPr>
                <w:t>View Document</w:t>
              </w:r>
            </w:hyperlink>
          </w:p>
        </w:tc>
      </w:tr>
    </w:tbl>
    <w:p w14:paraId="2825175E" w14:textId="77777777" w:rsidR="00990531" w:rsidRDefault="00990531" w:rsidP="00990531">
      <w:pPr>
        <w:autoSpaceDE w:val="0"/>
        <w:autoSpaceDN w:val="0"/>
        <w:adjustRightInd w:val="0"/>
        <w:rPr>
          <w:rFonts w:ascii="TimesNewRomanPS-BoldMT" w:hAnsi="TimesNewRomanPS-BoldMT" w:cs="TimesNewRomanPS-BoldMT"/>
          <w:b/>
          <w:bCs/>
          <w:sz w:val="27"/>
          <w:szCs w:val="27"/>
        </w:rPr>
      </w:pPr>
    </w:p>
    <w:p w14:paraId="31FE3483" w14:textId="77777777" w:rsidR="00990531" w:rsidRDefault="00990531" w:rsidP="00990531">
      <w:pPr>
        <w:jc w:val="both"/>
        <w:rPr>
          <w:sz w:val="24"/>
          <w:szCs w:val="24"/>
        </w:rPr>
      </w:pPr>
    </w:p>
    <w:p w14:paraId="7217CDFE" w14:textId="77777777" w:rsidR="00AF7816" w:rsidRDefault="00AF7816"/>
    <w:sectPr w:rsidR="00AF7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3303"/>
    <w:multiLevelType w:val="multilevel"/>
    <w:tmpl w:val="84ECBE6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243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531"/>
    <w:rsid w:val="001423EA"/>
    <w:rsid w:val="005A7137"/>
    <w:rsid w:val="006B05A5"/>
    <w:rsid w:val="008E7546"/>
    <w:rsid w:val="00941E76"/>
    <w:rsid w:val="00990531"/>
    <w:rsid w:val="00AF7816"/>
    <w:rsid w:val="00C22907"/>
    <w:rsid w:val="00EF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7D97"/>
  <w15:chartTrackingRefBased/>
  <w15:docId w15:val="{CDF5E9DD-EE35-4158-875A-ECC756C3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90531"/>
    <w:pPr>
      <w:widowControl w:val="0"/>
      <w:spacing w:after="0" w:line="240" w:lineRule="auto"/>
    </w:pPr>
    <w:rPr>
      <w:rFonts w:ascii="Times New Roman" w:eastAsia="Times New Roman" w:hAnsi="Times New Roman" w:cs="Times New Roman"/>
    </w:rPr>
  </w:style>
  <w:style w:type="paragraph" w:styleId="Heading4">
    <w:name w:val="heading 4"/>
    <w:basedOn w:val="Normal"/>
    <w:next w:val="Normal"/>
    <w:link w:val="Heading4Char"/>
    <w:uiPriority w:val="9"/>
    <w:unhideWhenUsed/>
    <w:qFormat/>
    <w:rsid w:val="00990531"/>
    <w:pPr>
      <w:keepNext/>
      <w:keepLines/>
      <w:widowControl/>
      <w:spacing w:before="200" w:line="276" w:lineRule="auto"/>
      <w:outlineLvl w:val="3"/>
    </w:pPr>
    <w:rPr>
      <w:rFonts w:ascii="Cambria" w:hAnsi="Cambria"/>
      <w:b/>
      <w:bCs/>
      <w:i/>
      <w:iCs/>
      <w:color w:val="4F81BD"/>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0531"/>
    <w:rPr>
      <w:rFonts w:ascii="Cambria" w:eastAsia="Times New Roman" w:hAnsi="Cambria" w:cs="Times New Roman"/>
      <w:b/>
      <w:bCs/>
      <w:i/>
      <w:iCs/>
      <w:color w:val="4F81BD"/>
      <w:sz w:val="20"/>
      <w:szCs w:val="20"/>
      <w:lang w:bidi="en-US"/>
    </w:rPr>
  </w:style>
  <w:style w:type="paragraph" w:styleId="BodyText">
    <w:name w:val="Body Text"/>
    <w:basedOn w:val="Normal"/>
    <w:link w:val="BodyTextChar"/>
    <w:uiPriority w:val="1"/>
    <w:qFormat/>
    <w:rsid w:val="00990531"/>
    <w:rPr>
      <w:sz w:val="24"/>
      <w:szCs w:val="24"/>
    </w:rPr>
  </w:style>
  <w:style w:type="character" w:customStyle="1" w:styleId="BodyTextChar">
    <w:name w:val="Body Text Char"/>
    <w:basedOn w:val="DefaultParagraphFont"/>
    <w:link w:val="BodyText"/>
    <w:uiPriority w:val="1"/>
    <w:rsid w:val="00990531"/>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90531"/>
    <w:pPr>
      <w:spacing w:before="41"/>
      <w:ind w:left="480"/>
    </w:pPr>
  </w:style>
  <w:style w:type="table" w:styleId="TableGrid">
    <w:name w:val="Table Grid"/>
    <w:basedOn w:val="TableNormal"/>
    <w:uiPriority w:val="59"/>
    <w:rsid w:val="009905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990531"/>
    <w:rPr>
      <w:color w:val="0000FF"/>
      <w:u w:val="single"/>
    </w:rPr>
  </w:style>
  <w:style w:type="character" w:customStyle="1" w:styleId="ListParagraphChar">
    <w:name w:val="List Paragraph Char"/>
    <w:link w:val="ListParagraph"/>
    <w:uiPriority w:val="34"/>
    <w:rsid w:val="0099053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QAC\AppData\Roaming\Microsoft\Word\creterian%20wise\criteria1-krishna\NAAC_1.1\1.1.2\1.1.2.4.%20Department%20Academic%20Calender.pdf" TargetMode="External"/><Relationship Id="rId3" Type="http://schemas.openxmlformats.org/officeDocument/2006/relationships/settings" Target="settings.xml"/><Relationship Id="rId7" Type="http://schemas.openxmlformats.org/officeDocument/2006/relationships/hyperlink" Target="file:///C:\Users\IQAC\AppData\Roaming\Microsoft\Word\creterian%20wise\criteria1-krishna\NAAC_1.1\1.1.2\1.1.2.3.%20%20Institute%20Academic%20Calende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nrt.org/examcell_calendar.php" TargetMode="External"/><Relationship Id="rId11" Type="http://schemas.openxmlformats.org/officeDocument/2006/relationships/fontTable" Target="fontTable.xml"/><Relationship Id="rId5" Type="http://schemas.openxmlformats.org/officeDocument/2006/relationships/hyperlink" Target="https://www.aicte-india.org/sites/default/files/ExaminationReforms.pdf" TargetMode="External"/><Relationship Id="rId10" Type="http://schemas.openxmlformats.org/officeDocument/2006/relationships/hyperlink" Target="file:///C:\Users\IQAC\AppData\Roaming\Microsoft\Word\creterian%20wise\criteria1-krishna\NAAC_1.1\1.1.2\1.1.2.7.%20CIE%20Procedure.pdf" TargetMode="External"/><Relationship Id="rId4" Type="http://schemas.openxmlformats.org/officeDocument/2006/relationships/webSettings" Target="webSettings.xml"/><Relationship Id="rId9" Type="http://schemas.openxmlformats.org/officeDocument/2006/relationships/hyperlink" Target="file:///C:\Users\IQAC\AppData\Roaming\Microsoft\Word\creterian%20wise\criteria1-krishna\NAAC_1.1\1.1.2\1.1.2.6.%20%20Mid%20exams%20and%20University%20Examinations%20Time%20T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iqac</dc:creator>
  <cp:keywords/>
  <dc:description/>
  <cp:lastModifiedBy>iqac</cp:lastModifiedBy>
  <cp:revision>2</cp:revision>
  <dcterms:created xsi:type="dcterms:W3CDTF">2022-05-09T10:45:00Z</dcterms:created>
  <dcterms:modified xsi:type="dcterms:W3CDTF">2022-05-09T10:55:00Z</dcterms:modified>
</cp:coreProperties>
</file>